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7877A357" w:rsidP="328D5706" w:rsidRDefault="7877A357" w14:paraId="411A7DFA" w14:textId="1C46D714">
      <w:pPr>
        <w:widowControl w:val="0"/>
        <w:spacing w:line="316" w:lineRule="auto"/>
        <w:ind w:right="662"/>
        <w:jc w:val="center"/>
        <w:rPr>
          <w:rFonts w:ascii="Arial" w:hAnsi="Arial" w:eastAsia="Arial" w:cs="Arial"/>
          <w:color w:val="244061"/>
          <w:sz w:val="24"/>
          <w:szCs w:val="24"/>
        </w:rPr>
      </w:pPr>
      <w:r w:rsidRPr="328D5706">
        <w:rPr>
          <w:rFonts w:ascii="Arial" w:hAnsi="Arial" w:eastAsia="Arial" w:cs="Arial"/>
          <w:b/>
          <w:bCs/>
          <w:color w:val="244061"/>
          <w:sz w:val="24"/>
          <w:szCs w:val="24"/>
        </w:rPr>
        <w:t xml:space="preserve">Mejora la rentabilidad en 4 puntos respecto al 2022 </w:t>
      </w:r>
    </w:p>
    <w:p w:rsidR="7877A357" w:rsidP="328D5706" w:rsidRDefault="7877A357" w14:paraId="54D3DBC9" w14:textId="0B945952">
      <w:pPr>
        <w:widowControl w:val="0"/>
        <w:spacing w:line="240" w:lineRule="auto"/>
        <w:ind w:right="662"/>
        <w:jc w:val="center"/>
        <w:rPr>
          <w:rFonts w:ascii="Arial" w:hAnsi="Arial" w:eastAsia="Arial" w:cs="Arial"/>
          <w:color w:val="244061"/>
          <w:sz w:val="36"/>
          <w:szCs w:val="36"/>
        </w:rPr>
      </w:pPr>
      <w:r w:rsidRPr="328D5706">
        <w:rPr>
          <w:rFonts w:ascii="Arial" w:hAnsi="Arial" w:eastAsia="Arial" w:cs="Arial"/>
          <w:b/>
          <w:bCs/>
          <w:color w:val="244061"/>
          <w:sz w:val="36"/>
          <w:szCs w:val="36"/>
        </w:rPr>
        <w:t>Tier1 avanza el cierre del ejercicio 2023 con un EBITDA de 3,2 millones de euros, un 68% mayor que en 2022</w:t>
      </w:r>
    </w:p>
    <w:p w:rsidR="7877A357" w:rsidP="328D5706" w:rsidRDefault="7877A357" w14:paraId="00BF9CD6" w14:textId="07D6EA8C">
      <w:pPr>
        <w:pStyle w:val="ListParagraph"/>
        <w:widowControl w:val="0"/>
        <w:numPr>
          <w:ilvl w:val="0"/>
          <w:numId w:val="5"/>
        </w:numPr>
        <w:tabs>
          <w:tab w:val="left" w:pos="401"/>
        </w:tabs>
        <w:rPr>
          <w:rFonts w:ascii="Arial" w:hAnsi="Arial" w:eastAsia="Arial" w:cs="Arial"/>
          <w:color w:val="244061"/>
          <w:sz w:val="24"/>
          <w:szCs w:val="24"/>
        </w:rPr>
      </w:pPr>
      <w:r w:rsidRPr="328D5706">
        <w:rPr>
          <w:rFonts w:ascii="Arial" w:hAnsi="Arial" w:eastAsia="Arial" w:cs="Arial"/>
          <w:color w:val="244061"/>
          <w:sz w:val="24"/>
          <w:szCs w:val="24"/>
        </w:rPr>
        <w:t>Aumento del 19% de la cifra de negocio hasta los 21,8 millones de euros.</w:t>
      </w:r>
    </w:p>
    <w:p w:rsidR="7877A357" w:rsidP="328D5706" w:rsidRDefault="7877A357" w14:paraId="3D8CEB01" w14:textId="769C3A0E">
      <w:pPr>
        <w:pStyle w:val="ListParagraph"/>
        <w:widowControl w:val="0"/>
        <w:numPr>
          <w:ilvl w:val="0"/>
          <w:numId w:val="5"/>
        </w:numPr>
        <w:tabs>
          <w:tab w:val="left" w:pos="401"/>
        </w:tabs>
        <w:rPr>
          <w:rFonts w:ascii="Arial" w:hAnsi="Arial" w:eastAsia="Arial" w:cs="Arial"/>
          <w:color w:val="244061"/>
          <w:sz w:val="24"/>
          <w:szCs w:val="24"/>
        </w:rPr>
      </w:pPr>
      <w:r w:rsidRPr="328D5706">
        <w:rPr>
          <w:rFonts w:ascii="Arial" w:hAnsi="Arial" w:eastAsia="Arial" w:cs="Arial"/>
          <w:color w:val="244061"/>
          <w:sz w:val="24"/>
          <w:szCs w:val="24"/>
        </w:rPr>
        <w:t>Crecimiento del 48% de las ventas de producto software.</w:t>
      </w:r>
    </w:p>
    <w:p w:rsidR="7877A357" w:rsidP="0418EF38" w:rsidRDefault="7877A357" w14:paraId="59E84CEC" w14:textId="19729EBD">
      <w:pPr>
        <w:pStyle w:val="ListParagraph"/>
        <w:widowControl w:val="0"/>
        <w:numPr>
          <w:ilvl w:val="0"/>
          <w:numId w:val="5"/>
        </w:numPr>
        <w:tabs>
          <w:tab w:val="left" w:pos="401"/>
        </w:tabs>
        <w:spacing w:before="35"/>
        <w:rPr>
          <w:rFonts w:ascii="Arial" w:hAnsi="Arial" w:eastAsia="Arial" w:cs="Arial"/>
          <w:color w:val="244061"/>
          <w:sz w:val="24"/>
          <w:szCs w:val="24"/>
        </w:rPr>
      </w:pPr>
      <w:r w:rsidRPr="0418EF38">
        <w:rPr>
          <w:rFonts w:ascii="Arial" w:hAnsi="Arial" w:eastAsia="Arial" w:cs="Arial"/>
          <w:color w:val="244061"/>
          <w:sz w:val="24"/>
          <w:szCs w:val="24"/>
        </w:rPr>
        <w:t>M</w:t>
      </w:r>
      <w:r w:rsidRPr="0418EF38" w:rsidR="361C3A46">
        <w:rPr>
          <w:rFonts w:ascii="Arial" w:hAnsi="Arial" w:eastAsia="Arial" w:cs="Arial"/>
          <w:color w:val="244061"/>
          <w:sz w:val="24"/>
          <w:szCs w:val="24"/>
        </w:rPr>
        <w:t>á</w:t>
      </w:r>
      <w:r w:rsidRPr="0418EF38">
        <w:rPr>
          <w:rFonts w:ascii="Arial" w:hAnsi="Arial" w:eastAsia="Arial" w:cs="Arial"/>
          <w:color w:val="244061"/>
          <w:sz w:val="24"/>
          <w:szCs w:val="24"/>
        </w:rPr>
        <w:t>s de 10 millones de euros en ingresos recurrentes.</w:t>
      </w:r>
    </w:p>
    <w:p w:rsidR="7FB0DF02" w:rsidP="328D5706" w:rsidRDefault="7FB0DF02" w14:paraId="4DB5FB5E" w14:textId="58FAA247">
      <w:pPr>
        <w:pStyle w:val="ListParagraph"/>
        <w:widowControl w:val="0"/>
        <w:numPr>
          <w:ilvl w:val="0"/>
          <w:numId w:val="5"/>
        </w:numPr>
        <w:tabs>
          <w:tab w:val="left" w:pos="401"/>
        </w:tabs>
        <w:spacing w:before="35"/>
        <w:rPr>
          <w:rFonts w:ascii="Arial" w:hAnsi="Arial" w:eastAsia="Arial" w:cs="Arial"/>
          <w:color w:val="244061"/>
        </w:rPr>
      </w:pPr>
      <w:r w:rsidRPr="328D5706">
        <w:rPr>
          <w:rFonts w:ascii="Arial" w:hAnsi="Arial" w:eastAsia="Arial" w:cs="Arial"/>
          <w:color w:val="244061"/>
          <w:sz w:val="24"/>
          <w:szCs w:val="24"/>
        </w:rPr>
        <w:t xml:space="preserve">Antonio </w:t>
      </w:r>
      <w:proofErr w:type="spellStart"/>
      <w:r w:rsidRPr="328D5706">
        <w:rPr>
          <w:rFonts w:ascii="Arial" w:hAnsi="Arial" w:eastAsia="Arial" w:cs="Arial"/>
          <w:color w:val="244061"/>
          <w:sz w:val="24"/>
          <w:szCs w:val="24"/>
        </w:rPr>
        <w:t>Somé</w:t>
      </w:r>
      <w:proofErr w:type="spellEnd"/>
      <w:r w:rsidRPr="328D5706">
        <w:rPr>
          <w:rFonts w:ascii="Arial" w:hAnsi="Arial" w:eastAsia="Arial" w:cs="Arial"/>
          <w:color w:val="244061"/>
          <w:sz w:val="24"/>
          <w:szCs w:val="24"/>
        </w:rPr>
        <w:t xml:space="preserve"> Carrillo, CEO de </w:t>
      </w:r>
      <w:proofErr w:type="spellStart"/>
      <w:r w:rsidRPr="328D5706">
        <w:rPr>
          <w:rFonts w:ascii="Arial" w:hAnsi="Arial" w:eastAsia="Arial" w:cs="Arial"/>
          <w:color w:val="244061"/>
          <w:sz w:val="24"/>
          <w:szCs w:val="24"/>
        </w:rPr>
        <w:t>Persán</w:t>
      </w:r>
      <w:proofErr w:type="spellEnd"/>
      <w:r w:rsidRPr="328D5706">
        <w:rPr>
          <w:rFonts w:ascii="Arial" w:hAnsi="Arial" w:eastAsia="Arial" w:cs="Arial"/>
          <w:color w:val="244061"/>
          <w:sz w:val="24"/>
          <w:szCs w:val="24"/>
        </w:rPr>
        <w:t xml:space="preserve">, se incorpora </w:t>
      </w:r>
      <w:r w:rsidRPr="328D5706" w:rsidR="7877A357">
        <w:rPr>
          <w:rFonts w:ascii="Arial" w:hAnsi="Arial" w:eastAsia="Arial" w:cs="Arial"/>
          <w:color w:val="244061"/>
          <w:sz w:val="24"/>
          <w:szCs w:val="24"/>
        </w:rPr>
        <w:t>al Consejo de Administración</w:t>
      </w:r>
      <w:r w:rsidRPr="328D5706" w:rsidR="7877A357">
        <w:rPr>
          <w:rFonts w:ascii="Arial" w:hAnsi="Arial" w:eastAsia="Arial" w:cs="Arial"/>
          <w:color w:val="244061"/>
        </w:rPr>
        <w:t xml:space="preserve"> </w:t>
      </w:r>
      <w:r w:rsidR="7877A357">
        <w:rPr>
          <w:noProof/>
        </w:rPr>
        <w:drawing>
          <wp:inline distT="0" distB="0" distL="0" distR="0" wp14:anchorId="50952E4C" wp14:editId="0E5D9F46">
            <wp:extent cx="5886450" cy="61317"/>
            <wp:effectExtent l="0" t="0" r="0" b="0"/>
            <wp:docPr id="2038627151" name="Picture 2038627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054B9F" w:rsidP="4267E032" w:rsidRDefault="58054B9F" w14:paraId="634D8735" w14:textId="5CDAD5F0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374151"/>
          <w:sz w:val="22"/>
          <w:szCs w:val="22"/>
        </w:rPr>
      </w:pPr>
      <w:r w:rsidRPr="4267E032" w:rsidR="7BD5901A">
        <w:rPr>
          <w:rFonts w:ascii="Arial" w:hAnsi="Arial" w:eastAsia="Arial" w:cs="Arial"/>
          <w:i w:val="1"/>
          <w:iCs w:val="1"/>
          <w:color w:val="374151"/>
          <w:sz w:val="22"/>
          <w:szCs w:val="22"/>
        </w:rPr>
        <w:t>Sevilla, 24 de enero de 2024 –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 Tier1</w:t>
      </w:r>
      <w:r w:rsidRPr="4267E032" w:rsidR="508F5C36">
        <w:rPr>
          <w:rFonts w:ascii="Arial" w:hAnsi="Arial" w:eastAsia="Arial" w:cs="Arial"/>
          <w:color w:val="374151"/>
          <w:sz w:val="22"/>
          <w:szCs w:val="22"/>
        </w:rPr>
        <w:t xml:space="preserve"> </w:t>
      </w:r>
      <w:r w:rsidRPr="4267E032" w:rsidR="508F5C36">
        <w:rPr>
          <w:rFonts w:ascii="Arial" w:hAnsi="Arial" w:eastAsia="Arial" w:cs="Arial"/>
          <w:color w:val="244061"/>
          <w:sz w:val="22"/>
          <w:szCs w:val="22"/>
        </w:rPr>
        <w:t>(</w:t>
      </w:r>
      <w:r w:rsidRPr="4267E032" w:rsidR="508F5C36">
        <w:rPr>
          <w:rFonts w:ascii="Arial" w:hAnsi="Arial" w:eastAsia="Arial" w:cs="Arial"/>
          <w:color w:val="244061"/>
          <w:sz w:val="22"/>
          <w:szCs w:val="22"/>
        </w:rPr>
        <w:t>Ticker</w:t>
      </w:r>
      <w:r w:rsidRPr="4267E032" w:rsidR="508F5C36">
        <w:rPr>
          <w:rFonts w:ascii="Arial" w:hAnsi="Arial" w:eastAsia="Arial" w:cs="Arial"/>
          <w:color w:val="244061"/>
          <w:sz w:val="22"/>
          <w:szCs w:val="22"/>
        </w:rPr>
        <w:t xml:space="preserve"> BME Growth:TR1)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, </w:t>
      </w:r>
      <w:r w:rsidRPr="4267E032" w:rsidR="02EB46C2">
        <w:rPr>
          <w:rFonts w:ascii="Arial" w:hAnsi="Arial" w:eastAsia="Arial" w:cs="Arial"/>
          <w:color w:val="374151"/>
          <w:sz w:val="22"/>
          <w:szCs w:val="22"/>
        </w:rPr>
        <w:t xml:space="preserve">empresa española 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>líder en soluciones tecnológicas, ha revelado en su presentación a inversores un</w:t>
      </w:r>
      <w:r w:rsidRPr="4267E032" w:rsidR="3757BE38">
        <w:rPr>
          <w:rFonts w:ascii="Arial" w:hAnsi="Arial" w:eastAsia="Arial" w:cs="Arial"/>
          <w:color w:val="374151"/>
          <w:sz w:val="22"/>
          <w:szCs w:val="22"/>
        </w:rPr>
        <w:t xml:space="preserve"> </w:t>
      </w:r>
      <w:r w:rsidRPr="4267E032" w:rsidR="1A060F20">
        <w:rPr>
          <w:rFonts w:ascii="Arial" w:hAnsi="Arial" w:eastAsia="Arial" w:cs="Arial"/>
          <w:color w:val="374151"/>
          <w:sz w:val="22"/>
          <w:szCs w:val="22"/>
        </w:rPr>
        <w:t>2023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 de crecimiento</w:t>
      </w:r>
      <w:r w:rsidRPr="4267E032" w:rsidR="4204571B">
        <w:rPr>
          <w:rFonts w:ascii="Arial" w:hAnsi="Arial" w:eastAsia="Arial" w:cs="Arial"/>
          <w:color w:val="374151"/>
          <w:sz w:val="22"/>
          <w:szCs w:val="22"/>
        </w:rPr>
        <w:t>.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 El </w:t>
      </w:r>
      <w:r w:rsidRPr="4267E032" w:rsidR="162F95FB">
        <w:rPr>
          <w:rFonts w:ascii="Arial" w:hAnsi="Arial" w:eastAsia="Arial" w:cs="Arial"/>
          <w:color w:val="374151"/>
          <w:sz w:val="22"/>
          <w:szCs w:val="22"/>
        </w:rPr>
        <w:t>pasado año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 marcó un hito financiero para Tier1, con un aumento del 19% en su cifra de negocios, alcanzando los 21,8 millones de euros y un EBITDA histórico de 3,2 millones, un 68% más que el año anterior</w:t>
      </w:r>
      <w:r w:rsidRPr="4267E032" w:rsidR="143A112B">
        <w:rPr>
          <w:rFonts w:ascii="Arial" w:hAnsi="Arial" w:eastAsia="Arial" w:cs="Arial"/>
          <w:color w:val="374151"/>
          <w:sz w:val="22"/>
          <w:szCs w:val="22"/>
        </w:rPr>
        <w:t>.</w:t>
      </w:r>
    </w:p>
    <w:p w:rsidR="58054B9F" w:rsidP="4267E032" w:rsidRDefault="58054B9F" w14:paraId="3922D462" w14:textId="4868F8D7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1F3864" w:themeColor="accent1" w:themeTint="FF" w:themeShade="80"/>
          <w:sz w:val="22"/>
          <w:szCs w:val="22"/>
        </w:rPr>
      </w:pPr>
      <w:r w:rsidRPr="4267E032" w:rsidR="00C65906">
        <w:rPr>
          <w:rFonts w:ascii="Arial" w:hAnsi="Arial" w:eastAsia="Arial" w:cs="Arial"/>
          <w:color w:val="374151"/>
          <w:sz w:val="22"/>
          <w:szCs w:val="22"/>
        </w:rPr>
        <w:t xml:space="preserve">Cabe destacar que los incrementos anteriores suponen un crecimiento 100% orgánico. Si bien la compañía </w:t>
      </w:r>
      <w:r w:rsidRPr="4267E032" w:rsidR="185B9075">
        <w:rPr>
          <w:rFonts w:ascii="Arial" w:hAnsi="Arial" w:eastAsia="Arial" w:cs="Arial"/>
          <w:color w:val="374151"/>
          <w:sz w:val="22"/>
          <w:szCs w:val="22"/>
        </w:rPr>
        <w:t xml:space="preserve">también </w:t>
      </w:r>
      <w:r w:rsidRPr="4267E032" w:rsidR="00C65906">
        <w:rPr>
          <w:rFonts w:ascii="Arial" w:hAnsi="Arial" w:eastAsia="Arial" w:cs="Arial"/>
          <w:color w:val="374151"/>
          <w:sz w:val="22"/>
          <w:szCs w:val="22"/>
        </w:rPr>
        <w:t xml:space="preserve">completó una operación de M&amp;A en septiembre de 2023 con la compra del 40% de la empresa de software para restauración </w:t>
      </w:r>
      <w:r w:rsidRPr="4267E032" w:rsidR="00C65906">
        <w:rPr>
          <w:rFonts w:ascii="Arial" w:hAnsi="Arial" w:eastAsia="Arial" w:cs="Arial"/>
          <w:color w:val="374151"/>
          <w:sz w:val="22"/>
          <w:szCs w:val="22"/>
        </w:rPr>
        <w:t>Next&amp;Tech</w:t>
      </w:r>
      <w:r w:rsidRPr="4267E032" w:rsidR="00C65906">
        <w:rPr>
          <w:rFonts w:ascii="Arial" w:hAnsi="Arial" w:eastAsia="Arial" w:cs="Arial"/>
          <w:color w:val="374151"/>
          <w:sz w:val="22"/>
          <w:szCs w:val="22"/>
        </w:rPr>
        <w:t xml:space="preserve"> S.L.,</w:t>
      </w:r>
      <w:r w:rsidRPr="4267E032" w:rsidR="00ED4DD5">
        <w:rPr>
          <w:rFonts w:ascii="Arial" w:hAnsi="Arial" w:eastAsia="Arial" w:cs="Arial"/>
          <w:color w:val="1F3864" w:themeColor="accent1" w:themeTint="FF" w:themeShade="80"/>
          <w:sz w:val="22"/>
          <w:szCs w:val="22"/>
        </w:rPr>
        <w:t xml:space="preserve"> las cifras avanzadas no incluyen los 1,7 millones de euros en los que ha cerrado esta compañía ya que queda fuera del perímetro de consolidación.</w:t>
      </w:r>
    </w:p>
    <w:p w:rsidR="58054B9F" w:rsidP="4267E032" w:rsidRDefault="58054B9F" w14:paraId="0EE438C8" w14:textId="66133A1B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2238B0D9">
        <w:rPr>
          <w:rFonts w:ascii="Arial" w:hAnsi="Arial" w:eastAsia="Arial" w:cs="Arial"/>
          <w:color w:val="374151"/>
          <w:sz w:val="22"/>
          <w:szCs w:val="22"/>
        </w:rPr>
        <w:t xml:space="preserve">El presidente de Tier1, Eduardo </w:t>
      </w:r>
      <w:r w:rsidRPr="4267E032" w:rsidR="2238B0D9">
        <w:rPr>
          <w:rFonts w:ascii="Arial" w:hAnsi="Arial" w:eastAsia="Arial" w:cs="Arial"/>
          <w:color w:val="374151"/>
          <w:sz w:val="22"/>
          <w:szCs w:val="22"/>
        </w:rPr>
        <w:t>Fuentesal</w:t>
      </w:r>
      <w:r w:rsidRPr="4267E032" w:rsidR="2238B0D9">
        <w:rPr>
          <w:rFonts w:ascii="Arial" w:hAnsi="Arial" w:eastAsia="Arial" w:cs="Arial"/>
          <w:color w:val="374151"/>
          <w:sz w:val="22"/>
          <w:szCs w:val="22"/>
        </w:rPr>
        <w:t xml:space="preserve"> </w:t>
      </w:r>
      <w:r w:rsidRPr="4267E032" w:rsidR="2238B0D9">
        <w:rPr>
          <w:rFonts w:ascii="Arial" w:hAnsi="Arial" w:eastAsia="Arial" w:cs="Arial"/>
          <w:color w:val="374151"/>
          <w:sz w:val="22"/>
          <w:szCs w:val="22"/>
        </w:rPr>
        <w:t>Ñudi</w:t>
      </w:r>
      <w:r w:rsidRPr="4267E032" w:rsidR="2238B0D9">
        <w:rPr>
          <w:rFonts w:ascii="Arial" w:hAnsi="Arial" w:eastAsia="Arial" w:cs="Arial"/>
          <w:color w:val="374151"/>
          <w:sz w:val="22"/>
          <w:szCs w:val="22"/>
        </w:rPr>
        <w:t xml:space="preserve">, 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 xml:space="preserve">ha avanzado las cifras de cierre no auditadas del ejercicio 2024 </w:t>
      </w:r>
      <w:r w:rsidRPr="4267E032" w:rsidR="4E334C39">
        <w:rPr>
          <w:rFonts w:ascii="Arial" w:hAnsi="Arial" w:eastAsia="Arial" w:cs="Arial"/>
          <w:color w:val="244061"/>
          <w:sz w:val="22"/>
          <w:szCs w:val="22"/>
        </w:rPr>
        <w:t xml:space="preserve">durante 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>la presentación para inversores que tuvo lugar el 23 de enero</w:t>
      </w:r>
      <w:r w:rsidRPr="4267E032" w:rsidR="4FBD5A6D">
        <w:rPr>
          <w:rFonts w:ascii="Arial" w:hAnsi="Arial" w:eastAsia="Arial" w:cs="Arial"/>
          <w:color w:val="244061"/>
          <w:sz w:val="22"/>
          <w:szCs w:val="22"/>
        </w:rPr>
        <w:t xml:space="preserve">, donde 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>también se h</w:t>
      </w:r>
      <w:r w:rsidRPr="4267E032" w:rsidR="28EC243E">
        <w:rPr>
          <w:rFonts w:ascii="Arial" w:hAnsi="Arial" w:eastAsia="Arial" w:cs="Arial"/>
          <w:color w:val="244061"/>
          <w:sz w:val="22"/>
          <w:szCs w:val="22"/>
        </w:rPr>
        <w:t>a realizad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 xml:space="preserve">o un 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>track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 xml:space="preserve"> 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>record</w:t>
      </w:r>
      <w:r w:rsidRPr="4267E032" w:rsidR="2238B0D9">
        <w:rPr>
          <w:rFonts w:ascii="Arial" w:hAnsi="Arial" w:eastAsia="Arial" w:cs="Arial"/>
          <w:color w:val="244061"/>
          <w:sz w:val="22"/>
          <w:szCs w:val="22"/>
        </w:rPr>
        <w:t xml:space="preserve"> de la evolución de compañía, se presentó la nueva composición del Consejo de Administración y se compartieron las principales líneas del plan estratégico.</w:t>
      </w:r>
    </w:p>
    <w:p w:rsidR="58054B9F" w:rsidP="4267E032" w:rsidRDefault="58054B9F" w14:paraId="30EFC326" w14:textId="167D7075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7D0CBC2A">
        <w:rPr>
          <w:rFonts w:ascii="Arial" w:hAnsi="Arial" w:eastAsia="Arial" w:cs="Arial"/>
          <w:color w:val="374151"/>
          <w:sz w:val="22"/>
          <w:szCs w:val="22"/>
        </w:rPr>
        <w:t>T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 xml:space="preserve">ambién se ha anunciado la incorporación de Antonio 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>Somé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 xml:space="preserve"> Carrillo al Consejo de Administración para reforzar la visión estratégica de la compañía. 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 xml:space="preserve">Con una facturación de 665 millones de euros al año, 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>Persán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 xml:space="preserve"> es la compañía líder en el desarrollo, fabricación y comercialización de productos para el cuidado personal y del hogar. Don Antonio 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>Somé</w:t>
      </w:r>
      <w:r w:rsidRPr="4267E032" w:rsidR="7D0CBC2A">
        <w:rPr>
          <w:rFonts w:ascii="Arial" w:hAnsi="Arial" w:eastAsia="Arial" w:cs="Arial"/>
          <w:color w:val="244061"/>
          <w:sz w:val="22"/>
          <w:szCs w:val="22"/>
        </w:rPr>
        <w:t xml:space="preserve"> Carrillo cuenta con una extensa trayectoria profesional en el sector de la industria química de gran consumo y ha trabajo con clientes líderes nacionales e internacionales en el campo de la distribución.</w:t>
      </w:r>
    </w:p>
    <w:p w:rsidR="58054B9F" w:rsidP="4267E032" w:rsidRDefault="58054B9F" w14:paraId="199D7143" w14:textId="151279B6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</w:p>
    <w:p w:rsidR="58054B9F" w:rsidP="4267E032" w:rsidRDefault="58054B9F" w14:paraId="2D8C3AD8" w14:textId="1877D649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244061"/>
          <w:sz w:val="22"/>
          <w:szCs w:val="22"/>
        </w:rPr>
      </w:pPr>
      <w:r w:rsidRPr="4267E032" w:rsidR="2BE9BBCB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>B</w:t>
      </w:r>
      <w:r w:rsidRPr="4267E032" w:rsidR="7D0CBC2A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>alance de Tier1 en 2023 y plan estratégico</w:t>
      </w:r>
    </w:p>
    <w:p w:rsidR="58054B9F" w:rsidP="4267E032" w:rsidRDefault="58054B9F" w14:paraId="08AB0E60" w14:textId="1D1CE3C0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4CA41B12">
        <w:rPr>
          <w:rFonts w:ascii="Arial" w:hAnsi="Arial" w:eastAsia="Arial" w:cs="Arial"/>
          <w:color w:val="244061"/>
          <w:sz w:val="22"/>
          <w:szCs w:val="22"/>
        </w:rPr>
        <w:t>Las dos líneas estratégicas de negocio, software y servicios IT han vuelto a registrar importantes crecimientos. Los ingresos del producto software aumentaron un 29% hasta los 9,9 millones de euros, lo que representa un 46% del volumen total de ventas. El área de mantenimiento y despliegue de Infraestructuras IT cierra el ejercicio en 9,1 millones de euros, un 11% más respecto al 2022.</w:t>
      </w:r>
    </w:p>
    <w:p w:rsidR="58054B9F" w:rsidP="4267E032" w:rsidRDefault="58054B9F" w14:paraId="74731E34" w14:textId="744E2F92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4CA41B12">
        <w:rPr>
          <w:rFonts w:ascii="Arial" w:hAnsi="Arial" w:eastAsia="Arial" w:cs="Arial"/>
          <w:color w:val="244061"/>
          <w:sz w:val="22"/>
          <w:szCs w:val="22"/>
        </w:rPr>
        <w:t>La alta recurrencia en ventas sigue siendo un punto fuerte en el modelo de negocio de Tier1, con casi un 50% de sus ingresos vinculados a contratos de medio y largo plazo, siendo el área de software el que más ha crecido en recurrencia con un incremento del 21% respecto a 2022.</w:t>
      </w:r>
    </w:p>
    <w:p w:rsidR="58054B9F" w:rsidP="4267E032" w:rsidRDefault="58054B9F" w14:paraId="04CE5B1D" w14:textId="26CB7161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El sector 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>Retail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 sigue siendo un </w:t>
      </w:r>
      <w:r w:rsidRPr="4267E032" w:rsidR="038F58C9">
        <w:rPr>
          <w:rFonts w:ascii="Arial" w:hAnsi="Arial" w:eastAsia="Arial" w:cs="Arial"/>
          <w:color w:val="374151"/>
          <w:sz w:val="22"/>
          <w:szCs w:val="22"/>
        </w:rPr>
        <w:t xml:space="preserve">potente 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pilar </w:t>
      </w:r>
      <w:r w:rsidRPr="4267E032" w:rsidR="4C31F366">
        <w:rPr>
          <w:rFonts w:ascii="Arial" w:hAnsi="Arial" w:eastAsia="Arial" w:cs="Arial"/>
          <w:color w:val="374151"/>
          <w:sz w:val="22"/>
          <w:szCs w:val="22"/>
        </w:rPr>
        <w:t xml:space="preserve">de negocio </w:t>
      </w:r>
      <w:r w:rsidRPr="4267E032" w:rsidR="7BD5901A">
        <w:rPr>
          <w:rFonts w:ascii="Arial" w:hAnsi="Arial" w:eastAsia="Arial" w:cs="Arial"/>
          <w:color w:val="374151"/>
          <w:sz w:val="22"/>
          <w:szCs w:val="22"/>
        </w:rPr>
        <w:t xml:space="preserve">para Tier1, con un incremento del 20%,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concentrando el 66% de las ventas</w:t>
      </w:r>
      <w:r w:rsidRPr="4267E032" w:rsidR="0EDE7188">
        <w:rPr>
          <w:rFonts w:ascii="Arial" w:hAnsi="Arial" w:eastAsia="Arial" w:cs="Arial"/>
          <w:color w:val="244061"/>
          <w:sz w:val="22"/>
          <w:szCs w:val="22"/>
        </w:rPr>
        <w:t xml:space="preserve">. También ha seguido esta tendencia positiva el sector Industria con un aumento del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20% </w:t>
      </w:r>
      <w:r w:rsidRPr="4267E032" w:rsidR="757E388F">
        <w:rPr>
          <w:rFonts w:ascii="Arial" w:hAnsi="Arial" w:eastAsia="Arial" w:cs="Arial"/>
          <w:color w:val="244061"/>
          <w:sz w:val="22"/>
          <w:szCs w:val="22"/>
        </w:rPr>
        <w:t xml:space="preserve">de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los ingresos</w:t>
      </w:r>
      <w:r w:rsidRPr="4267E032" w:rsidR="7E9E3E5F">
        <w:rPr>
          <w:rFonts w:ascii="Arial" w:hAnsi="Arial" w:eastAsia="Arial" w:cs="Arial"/>
          <w:color w:val="244061"/>
          <w:sz w:val="22"/>
          <w:szCs w:val="22"/>
        </w:rPr>
        <w:t xml:space="preserve">, representando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el 21% del total.</w:t>
      </w:r>
    </w:p>
    <w:p w:rsidR="58054B9F" w:rsidP="4267E032" w:rsidRDefault="58054B9F" w14:paraId="02D4AB14" w14:textId="6AC2926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Sin embargo</w:t>
      </w:r>
      <w:r w:rsidRPr="4267E032" w:rsidR="246DF475">
        <w:rPr>
          <w:rFonts w:ascii="Arial" w:hAnsi="Arial" w:eastAsia="Arial" w:cs="Arial"/>
          <w:color w:val="244061"/>
          <w:sz w:val="22"/>
          <w:szCs w:val="22"/>
        </w:rPr>
        <w:t>,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 lo más destacado de las cifras presentadas es el incremento del beneficio operativo o EBITDA, que alcanza un máximo histórico con un crecimiento del 68% hasta los 3,2 millones de euros. El margen EBIDTA sobre ingresos se sitúa en el</w:t>
      </w:r>
      <w:r w:rsidRPr="4267E032" w:rsidR="7D8A157A">
        <w:rPr>
          <w:rFonts w:ascii="Arial" w:hAnsi="Arial" w:eastAsia="Arial" w:cs="Arial"/>
          <w:color w:val="244061"/>
          <w:sz w:val="22"/>
          <w:szCs w:val="22"/>
        </w:rPr>
        <w:t xml:space="preserve">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14,7% lo que supone una mejora de la rentabilidad de 4,3 puntos respecto al 2022.</w:t>
      </w:r>
    </w:p>
    <w:p w:rsidR="58054B9F" w:rsidP="4267E032" w:rsidRDefault="58054B9F" w14:paraId="013A685B" w14:textId="5C26F00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La compañía también ha avanzado las cifras de la contratación comercial alcanzada en 2023, que asciende a los 20 millones de euros, un 70% superior al total de contratos firmados en 2022 y que supone también un hito en la historia del Grupo, según se </w:t>
      </w:r>
      <w:r w:rsidRPr="4267E032" w:rsidR="41E88E43">
        <w:rPr>
          <w:rFonts w:ascii="Arial" w:hAnsi="Arial" w:eastAsia="Arial" w:cs="Arial"/>
          <w:color w:val="244061"/>
          <w:sz w:val="22"/>
          <w:szCs w:val="22"/>
        </w:rPr>
        <w:t>ha informado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 durante la presentación.</w:t>
      </w:r>
    </w:p>
    <w:p w:rsidR="58054B9F" w:rsidP="4267E032" w:rsidRDefault="58054B9F" w14:paraId="173D7084" w14:textId="484079B2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244061"/>
          <w:sz w:val="22"/>
          <w:szCs w:val="22"/>
        </w:rPr>
      </w:pP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Entre las líneas del Plan Estratégico en el que trabaja el Grupo destaca el desarrollo internacional, la consolidación del liderazgo en el </w:t>
      </w:r>
      <w:r w:rsidRPr="4267E032" w:rsidR="013617B3">
        <w:rPr>
          <w:rFonts w:ascii="Arial" w:hAnsi="Arial" w:eastAsia="Arial" w:cs="Arial"/>
          <w:color w:val="244061"/>
          <w:sz w:val="22"/>
          <w:szCs w:val="22"/>
        </w:rPr>
        <w:t>s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ector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Retail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, y “reenganchar” con el sector Industrial para el que el Grupo cuenta no solo con soluciones software de alto valor sino con un gran 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>expertise</w:t>
      </w:r>
      <w:r w:rsidRPr="4267E032" w:rsidR="363FD8D8">
        <w:rPr>
          <w:rFonts w:ascii="Arial" w:hAnsi="Arial" w:eastAsia="Arial" w:cs="Arial"/>
          <w:color w:val="244061"/>
          <w:sz w:val="22"/>
          <w:szCs w:val="22"/>
        </w:rPr>
        <w:t xml:space="preserve"> en lo referente a procesos de negocio. </w:t>
      </w:r>
    </w:p>
    <w:p w:rsidR="58054B9F" w:rsidP="4267E032" w:rsidRDefault="58054B9F" w14:paraId="245D7DF4" w14:textId="79ABB971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i w:val="1"/>
          <w:iCs w:val="1"/>
          <w:color w:val="244061"/>
          <w:sz w:val="22"/>
          <w:szCs w:val="22"/>
        </w:rPr>
      </w:pPr>
      <w:r w:rsidRPr="4267E032" w:rsidR="1A1F9420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 xml:space="preserve">Según manifestó D. Eduardo </w:t>
      </w:r>
      <w:r w:rsidRPr="4267E032" w:rsidR="1A1F9420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>Fuentesal</w:t>
      </w:r>
      <w:r w:rsidRPr="4267E032" w:rsidR="1A1F9420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 xml:space="preserve"> </w:t>
      </w:r>
      <w:r w:rsidRPr="4267E032" w:rsidR="1A1F9420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>Ñudi</w:t>
      </w:r>
      <w:r w:rsidRPr="4267E032" w:rsidR="1A1F9420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>: “</w:t>
      </w:r>
      <w:r w:rsidRPr="4267E032" w:rsidR="1A1F9420">
        <w:rPr>
          <w:rFonts w:ascii="Arial" w:hAnsi="Arial" w:eastAsia="Arial" w:cs="Arial"/>
          <w:i w:val="1"/>
          <w:iCs w:val="1"/>
          <w:color w:val="244061"/>
          <w:sz w:val="22"/>
          <w:szCs w:val="22"/>
        </w:rPr>
        <w:t xml:space="preserve">Estamos muy satisfechos del desempeño logrado en estos </w:t>
      </w:r>
      <w:r w:rsidRPr="4267E032" w:rsidR="0F1C9C5C">
        <w:rPr>
          <w:rFonts w:ascii="Arial" w:hAnsi="Arial" w:eastAsia="Arial" w:cs="Arial"/>
          <w:i w:val="1"/>
          <w:iCs w:val="1"/>
          <w:color w:val="244061"/>
          <w:sz w:val="22"/>
          <w:szCs w:val="22"/>
        </w:rPr>
        <w:t>últimos años</w:t>
      </w:r>
      <w:r w:rsidRPr="4267E032" w:rsidR="1A1F9420">
        <w:rPr>
          <w:rFonts w:ascii="Arial" w:hAnsi="Arial" w:eastAsia="Arial" w:cs="Arial"/>
          <w:i w:val="1"/>
          <w:iCs w:val="1"/>
          <w:color w:val="244061"/>
          <w:sz w:val="22"/>
          <w:szCs w:val="22"/>
        </w:rPr>
        <w:t>. Somos conscientes de que tenemos un importante reto por delante, para seguir cumpliendo con las expectativas de nuestros empleados, accionistas y clientes, pero es algo que afrontamos con mucha ilusión y responsabilidad”</w:t>
      </w:r>
      <w:r w:rsidRPr="4267E032" w:rsidR="0CDF0B28">
        <w:rPr>
          <w:rFonts w:ascii="Arial" w:hAnsi="Arial" w:eastAsia="Arial" w:cs="Arial"/>
          <w:i w:val="1"/>
          <w:iCs w:val="1"/>
          <w:color w:val="244061"/>
          <w:sz w:val="22"/>
          <w:szCs w:val="22"/>
        </w:rPr>
        <w:t>.</w:t>
      </w:r>
    </w:p>
    <w:p w:rsidR="58054B9F" w:rsidP="4267E032" w:rsidRDefault="58054B9F" w14:paraId="48B6A491" w14:textId="6399212D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244061"/>
          <w:sz w:val="22"/>
          <w:szCs w:val="22"/>
        </w:rPr>
      </w:pPr>
      <w:r w:rsidRPr="4267E032" w:rsidR="48939F2E">
        <w:rPr>
          <w:rFonts w:ascii="Arial" w:hAnsi="Arial" w:eastAsia="Arial" w:cs="Arial"/>
          <w:b w:val="1"/>
          <w:bCs w:val="1"/>
          <w:color w:val="244061"/>
          <w:sz w:val="22"/>
          <w:szCs w:val="22"/>
        </w:rPr>
        <w:t xml:space="preserve">Acerca de Grupo Tier1 </w:t>
      </w:r>
    </w:p>
    <w:p w:rsidR="58054B9F" w:rsidP="4267E032" w:rsidRDefault="58054B9F" w14:paraId="5C23EC3E" w14:textId="0CA38516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r w:rsidRPr="4267E032" w:rsidR="48939F2E">
        <w:rPr>
          <w:rFonts w:ascii="Arial" w:hAnsi="Arial" w:eastAsia="Arial" w:cs="Arial"/>
          <w:sz w:val="22"/>
          <w:szCs w:val="22"/>
        </w:rPr>
        <w:t xml:space="preserve">Con 30 años de experiencia en el sector de las tecnologías, Tier1 es un grupo empresarial con sede en Sevilla y presencia propia en toda Iberia. Actualmente posee tres líneas de actividad: la construcción e implantación de software, servicios IT en cuanto a despliegue y mantenimiento y servicios </w:t>
      </w:r>
      <w:r w:rsidRPr="4267E032" w:rsidR="48939F2E">
        <w:rPr>
          <w:rFonts w:ascii="Arial" w:hAnsi="Arial" w:eastAsia="Arial" w:cs="Arial"/>
          <w:sz w:val="22"/>
          <w:szCs w:val="22"/>
        </w:rPr>
        <w:t>Praas</w:t>
      </w:r>
      <w:r w:rsidRPr="4267E032" w:rsidR="48939F2E">
        <w:rPr>
          <w:rFonts w:ascii="Arial" w:hAnsi="Arial" w:eastAsia="Arial" w:cs="Arial"/>
          <w:sz w:val="22"/>
          <w:szCs w:val="22"/>
        </w:rPr>
        <w:t>.</w:t>
      </w:r>
    </w:p>
    <w:p w:rsidR="58054B9F" w:rsidP="4267E032" w:rsidRDefault="58054B9F" w14:paraId="687F1510" w14:textId="68A0BE4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r w:rsidRPr="4267E032" w:rsidR="48939F2E">
        <w:rPr>
          <w:rFonts w:ascii="Arial" w:hAnsi="Arial" w:eastAsia="Arial" w:cs="Arial"/>
          <w:sz w:val="22"/>
          <w:szCs w:val="22"/>
        </w:rPr>
        <w:t xml:space="preserve">Con más de 1.000 clientes y más de 300 empleados, cotiza en BME </w:t>
      </w:r>
      <w:r w:rsidRPr="4267E032" w:rsidR="48939F2E">
        <w:rPr>
          <w:rFonts w:ascii="Arial" w:hAnsi="Arial" w:eastAsia="Arial" w:cs="Arial"/>
          <w:sz w:val="22"/>
          <w:szCs w:val="22"/>
        </w:rPr>
        <w:t>Growth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desde junio de 2018, el mercado español de capitales especializado en pymes en fase de crecimiento.</w:t>
      </w:r>
    </w:p>
    <w:p w:rsidR="58054B9F" w:rsidP="4267E032" w:rsidRDefault="58054B9F" w14:paraId="76A6BDEE" w14:textId="63F7FFB8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r w:rsidRPr="4267E032" w:rsidR="48939F2E">
        <w:rPr>
          <w:rFonts w:ascii="Arial" w:hAnsi="Arial" w:eastAsia="Arial" w:cs="Arial"/>
          <w:sz w:val="22"/>
          <w:szCs w:val="22"/>
        </w:rPr>
        <w:t>El Grupo es</w:t>
      </w:r>
      <w:r w:rsidRPr="4267E032" w:rsidR="445CC7DD">
        <w:rPr>
          <w:rFonts w:ascii="Arial" w:hAnsi="Arial" w:eastAsia="Arial" w:cs="Arial"/>
          <w:sz w:val="22"/>
          <w:szCs w:val="22"/>
        </w:rPr>
        <w:t xml:space="preserve"> el fabricante y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propietario de </w:t>
      </w:r>
      <w:r w:rsidRPr="4267E032" w:rsidR="48939F2E">
        <w:rPr>
          <w:rFonts w:ascii="Arial" w:hAnsi="Arial" w:eastAsia="Arial" w:cs="Arial"/>
          <w:sz w:val="22"/>
          <w:szCs w:val="22"/>
        </w:rPr>
        <w:t>comerzzia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, solución de software específicamente construida para el sector </w:t>
      </w:r>
      <w:r w:rsidRPr="4267E032" w:rsidR="48939F2E">
        <w:rPr>
          <w:rFonts w:ascii="Arial" w:hAnsi="Arial" w:eastAsia="Arial" w:cs="Arial"/>
          <w:sz w:val="22"/>
          <w:szCs w:val="22"/>
        </w:rPr>
        <w:t>Retail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, y que ha venido siendo referenciada desde 2016 por la prestigiosa consultora internacional Gartner como una de las mejores soluciones a nivel mundial para abordar la casuística del comercio unificado. </w:t>
      </w:r>
    </w:p>
    <w:p w:rsidR="58054B9F" w:rsidP="4267E032" w:rsidRDefault="58054B9F" w14:paraId="7944E6D1" w14:textId="418DD179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r w:rsidRPr="4267E032" w:rsidR="48939F2E">
        <w:rPr>
          <w:rFonts w:ascii="Arial" w:hAnsi="Arial" w:eastAsia="Arial" w:cs="Arial"/>
          <w:sz w:val="22"/>
          <w:szCs w:val="22"/>
        </w:rPr>
        <w:t xml:space="preserve">Si bien cuenta con clientes en los sectores Industrial y Público, destaca su foco en el sector </w:t>
      </w:r>
      <w:r w:rsidRPr="4267E032" w:rsidR="48939F2E">
        <w:rPr>
          <w:rFonts w:ascii="Arial" w:hAnsi="Arial" w:eastAsia="Arial" w:cs="Arial"/>
          <w:sz w:val="22"/>
          <w:szCs w:val="22"/>
        </w:rPr>
        <w:t>Retail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, el cual representa más del 60% de su negocio, especializado en aportar soluciones que potencien la venta del comercio, apoyado en el valor de la marca </w:t>
      </w:r>
      <w:r w:rsidRPr="4267E032" w:rsidR="48939F2E">
        <w:rPr>
          <w:rFonts w:ascii="Arial" w:hAnsi="Arial" w:eastAsia="Arial" w:cs="Arial"/>
          <w:sz w:val="22"/>
          <w:szCs w:val="22"/>
        </w:rPr>
        <w:t>comerzzia</w:t>
      </w:r>
      <w:r w:rsidRPr="4267E032" w:rsidR="48939F2E">
        <w:rPr>
          <w:rFonts w:ascii="Arial" w:hAnsi="Arial" w:eastAsia="Arial" w:cs="Arial"/>
          <w:sz w:val="22"/>
          <w:szCs w:val="22"/>
        </w:rPr>
        <w:t>.</w:t>
      </w:r>
    </w:p>
    <w:p w:rsidR="58054B9F" w:rsidP="4267E032" w:rsidRDefault="58054B9F" w14:paraId="36E4142C" w14:textId="0D45CA7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r w:rsidRPr="4267E032" w:rsidR="48939F2E">
        <w:rPr>
          <w:rFonts w:ascii="Arial" w:hAnsi="Arial" w:eastAsia="Arial" w:cs="Arial"/>
          <w:sz w:val="22"/>
          <w:szCs w:val="22"/>
        </w:rPr>
        <w:t xml:space="preserve">Desde 2017, el Grupo Tier1 ha venido desarrollando una estrategia de crecimiento inorgánico adquiriendo la mayoría del capital de las sociedades </w:t>
      </w:r>
      <w:r w:rsidRPr="4267E032" w:rsidR="48939F2E">
        <w:rPr>
          <w:rFonts w:ascii="Arial" w:hAnsi="Arial" w:eastAsia="Arial" w:cs="Arial"/>
          <w:sz w:val="22"/>
          <w:szCs w:val="22"/>
        </w:rPr>
        <w:t>Dinamic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</w:t>
      </w:r>
      <w:r w:rsidRPr="4267E032" w:rsidR="48939F2E">
        <w:rPr>
          <w:rFonts w:ascii="Arial" w:hAnsi="Arial" w:eastAsia="Arial" w:cs="Arial"/>
          <w:sz w:val="22"/>
          <w:szCs w:val="22"/>
        </w:rPr>
        <w:t>Area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en Sevilla, ASG en Madrid, </w:t>
      </w:r>
      <w:r w:rsidRPr="4267E032" w:rsidR="48939F2E">
        <w:rPr>
          <w:rFonts w:ascii="Arial" w:hAnsi="Arial" w:eastAsia="Arial" w:cs="Arial"/>
          <w:sz w:val="22"/>
          <w:szCs w:val="22"/>
        </w:rPr>
        <w:t>Compudata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en Bilbao y CPI </w:t>
      </w:r>
      <w:r w:rsidRPr="4267E032" w:rsidR="48939F2E">
        <w:rPr>
          <w:rFonts w:ascii="Arial" w:hAnsi="Arial" w:eastAsia="Arial" w:cs="Arial"/>
          <w:sz w:val="22"/>
          <w:szCs w:val="22"/>
        </w:rPr>
        <w:t>Retail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en Lisboa, además de la filial </w:t>
      </w:r>
      <w:r w:rsidRPr="4267E032" w:rsidR="48939F2E">
        <w:rPr>
          <w:rFonts w:ascii="Arial" w:hAnsi="Arial" w:eastAsia="Arial" w:cs="Arial"/>
          <w:sz w:val="22"/>
          <w:szCs w:val="22"/>
        </w:rPr>
        <w:t>Comerzzia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Brasil constituida en 2022 junto con su socio y </w:t>
      </w:r>
      <w:r w:rsidRPr="4267E032" w:rsidR="48939F2E">
        <w:rPr>
          <w:rFonts w:ascii="Arial" w:hAnsi="Arial" w:eastAsia="Arial" w:cs="Arial"/>
          <w:sz w:val="22"/>
          <w:szCs w:val="22"/>
        </w:rPr>
        <w:t>partner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Seidor </w:t>
      </w:r>
      <w:r w:rsidRPr="4267E032" w:rsidR="48939F2E">
        <w:rPr>
          <w:rFonts w:ascii="Arial" w:hAnsi="Arial" w:eastAsia="Arial" w:cs="Arial"/>
          <w:sz w:val="22"/>
          <w:szCs w:val="22"/>
        </w:rPr>
        <w:t>Retail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Brasil. En 2023 entra en el sector de la Restauración adquiriendo el 40% de la compañía con sede en Barcelona </w:t>
      </w:r>
      <w:r w:rsidRPr="4267E032" w:rsidR="48939F2E">
        <w:rPr>
          <w:rFonts w:ascii="Arial" w:hAnsi="Arial" w:eastAsia="Arial" w:cs="Arial"/>
          <w:sz w:val="22"/>
          <w:szCs w:val="22"/>
        </w:rPr>
        <w:t>Next&amp;Tech</w:t>
      </w:r>
      <w:r w:rsidRPr="4267E032" w:rsidR="48939F2E">
        <w:rPr>
          <w:rFonts w:ascii="Arial" w:hAnsi="Arial" w:eastAsia="Arial" w:cs="Arial"/>
          <w:sz w:val="22"/>
          <w:szCs w:val="22"/>
        </w:rPr>
        <w:t xml:space="preserve"> 2013.</w:t>
      </w:r>
    </w:p>
    <w:p w:rsidR="58054B9F" w:rsidP="4267E032" w:rsidRDefault="58054B9F" w14:paraId="6D8D1A40" w14:textId="389FE0D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r w:rsidRPr="4267E032" w:rsidR="48939F2E">
        <w:rPr>
          <w:rFonts w:ascii="Arial" w:hAnsi="Arial" w:eastAsia="Arial" w:cs="Arial"/>
          <w:sz w:val="22"/>
          <w:szCs w:val="22"/>
        </w:rPr>
        <w:t>Tier1 tiene presencia internacional y cuenta en su cartera actual con clientes en más de 20 países.</w:t>
      </w:r>
    </w:p>
    <w:p w:rsidR="58054B9F" w:rsidP="4267E032" w:rsidRDefault="58054B9F" w14:paraId="3419B505" w14:textId="21BABDE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2866E01" w14:textId="09AD1BB6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22EA8C0" w14:textId="484A3323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132A4F8D" w14:textId="1EE6F532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23D3B9AE" w14:textId="6E6E1932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61E84C31" w14:textId="646B8D5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59C405BE" w14:textId="0FBFD31D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77A9D09" w14:textId="1D5C6E38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5BBD6D8D" w14:textId="43FC7D43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5E54F255" w14:textId="210FEB61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1597D7C6" w14:textId="71344DC9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84EC831" w14:textId="0667F743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B701A33" w14:textId="1C804DA0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4CFD92F7" w14:textId="26B971C6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54BFEDF0" w14:textId="28893AB0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3C45C6DC" w14:textId="0FBDA497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39102BB1" w14:textId="0B8414F7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4D0CBD5" w14:textId="6AD36D0B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797A657E" w14:textId="3EBD9E99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07AC625F" w14:textId="0AEFCBE4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</w:p>
    <w:p w:rsidR="58054B9F" w:rsidP="4267E032" w:rsidRDefault="58054B9F" w14:paraId="328B1306" w14:textId="55804D21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4"/>
          <w:szCs w:val="24"/>
        </w:rPr>
      </w:pPr>
      <w:r w:rsidRPr="4267E032" w:rsidR="48939F2E">
        <w:rPr>
          <w:rFonts w:ascii="Arial" w:hAnsi="Arial" w:eastAsia="Arial" w:cs="Arial"/>
          <w:b w:val="1"/>
          <w:bCs w:val="1"/>
          <w:color w:val="003045"/>
          <w:sz w:val="24"/>
          <w:szCs w:val="24"/>
        </w:rPr>
        <w:t>Para más información</w:t>
      </w:r>
    </w:p>
    <w:p w:rsidR="58054B9F" w:rsidP="4267E032" w:rsidRDefault="58054B9F" w14:paraId="60AE084B" w14:textId="08A321B3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hyperlink r:id="R4a91707d92404bd1">
        <w:r w:rsidRPr="4267E032" w:rsidR="48939F2E">
          <w:rPr>
            <w:rStyle w:val="Hyperlink"/>
            <w:rFonts w:ascii="Arial" w:hAnsi="Arial" w:eastAsia="Arial" w:cs="Arial"/>
            <w:color w:val="374151"/>
            <w:sz w:val="22"/>
            <w:szCs w:val="22"/>
          </w:rPr>
          <w:t>www.tier1.es</w:t>
        </w:r>
      </w:hyperlink>
    </w:p>
    <w:p w:rsidR="58054B9F" w:rsidP="4267E032" w:rsidRDefault="58054B9F" w14:paraId="2C41CA25" w14:textId="519C7901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b w:val="1"/>
          <w:bCs w:val="1"/>
          <w:color w:val="003045"/>
          <w:sz w:val="22"/>
          <w:szCs w:val="22"/>
        </w:rPr>
      </w:pPr>
      <w:r w:rsidRPr="4267E032" w:rsidR="48939F2E">
        <w:rPr>
          <w:rFonts w:ascii="Arial" w:hAnsi="Arial" w:eastAsia="Arial" w:cs="Arial"/>
          <w:b w:val="1"/>
          <w:bCs w:val="1"/>
          <w:color w:val="003045"/>
          <w:sz w:val="22"/>
          <w:szCs w:val="22"/>
        </w:rPr>
        <w:t>Marketing y Comunicación de Tier1</w:t>
      </w:r>
      <w:r w:rsidRPr="4267E032" w:rsidR="6017F223">
        <w:rPr>
          <w:rFonts w:ascii="Arial" w:hAnsi="Arial" w:eastAsia="Arial" w:cs="Arial"/>
          <w:b w:val="1"/>
          <w:bCs w:val="1"/>
          <w:color w:val="003045"/>
          <w:sz w:val="22"/>
          <w:szCs w:val="22"/>
        </w:rPr>
        <w:t xml:space="preserve"> – </w:t>
      </w:r>
      <w:r w:rsidRPr="4267E032" w:rsidR="70CD1A98">
        <w:rPr>
          <w:rFonts w:ascii="Arial" w:hAnsi="Arial" w:eastAsia="Arial" w:cs="Arial"/>
          <w:b w:val="1"/>
          <w:bCs w:val="1"/>
          <w:color w:val="003045"/>
          <w:sz w:val="22"/>
          <w:szCs w:val="22"/>
        </w:rPr>
        <w:t>c</w:t>
      </w:r>
      <w:r w:rsidRPr="4267E032" w:rsidR="48939F2E">
        <w:rPr>
          <w:rFonts w:ascii="Arial" w:hAnsi="Arial" w:eastAsia="Arial" w:cs="Arial"/>
          <w:b w:val="1"/>
          <w:bCs w:val="1"/>
          <w:color w:val="003045"/>
          <w:sz w:val="22"/>
          <w:szCs w:val="22"/>
        </w:rPr>
        <w:t>omerzzia</w:t>
      </w:r>
    </w:p>
    <w:p w:rsidR="58054B9F" w:rsidP="4267E032" w:rsidRDefault="58054B9F" w14:paraId="5398DA54" w14:textId="4F21C91C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hyperlink r:id="R0487f11526ee46ab">
        <w:r w:rsidRPr="4267E032" w:rsidR="48939F2E">
          <w:rPr>
            <w:rStyle w:val="Hyperlink"/>
            <w:rFonts w:ascii="Arial" w:hAnsi="Arial" w:eastAsia="Arial" w:cs="Arial"/>
            <w:sz w:val="22"/>
            <w:szCs w:val="22"/>
          </w:rPr>
          <w:t>marketing@tier1.es</w:t>
        </w:r>
      </w:hyperlink>
    </w:p>
    <w:p w:rsidR="58054B9F" w:rsidP="4267E032" w:rsidRDefault="58054B9F" w14:paraId="0374502C" w14:textId="5C081A97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sz w:val="22"/>
          <w:szCs w:val="22"/>
        </w:rPr>
      </w:pPr>
      <w:hyperlink r:id="R81ba06b189b44d9e">
        <w:r w:rsidRPr="4267E032" w:rsidR="48939F2E">
          <w:rPr>
            <w:rStyle w:val="Hyperlink"/>
            <w:rFonts w:ascii="Arial" w:hAnsi="Arial" w:eastAsia="Arial" w:cs="Arial"/>
            <w:sz w:val="22"/>
            <w:szCs w:val="22"/>
          </w:rPr>
          <w:t>sppm@comerzzia.com</w:t>
        </w:r>
      </w:hyperlink>
    </w:p>
    <w:p w:rsidR="58054B9F" w:rsidP="4267E032" w:rsidRDefault="58054B9F" w14:paraId="6655307B" w14:textId="14E5C129">
      <w:pPr>
        <w:pStyle w:val="BodyText"/>
        <w:widowControl w:val="0"/>
        <w:spacing w:before="198" w:line="276" w:lineRule="auto"/>
        <w:ind w:left="117" w:right="107"/>
        <w:jc w:val="both"/>
        <w:rPr>
          <w:rFonts w:ascii="Arial" w:hAnsi="Arial" w:eastAsia="Arial" w:cs="Arial"/>
          <w:color w:val="374151"/>
          <w:sz w:val="22"/>
          <w:szCs w:val="22"/>
        </w:rPr>
      </w:pPr>
      <w:r w:rsidRPr="4267E032" w:rsidR="4DF23DBF">
        <w:rPr>
          <w:rFonts w:ascii="Arial" w:hAnsi="Arial" w:eastAsia="Arial" w:cs="Arial"/>
          <w:color w:val="374151"/>
          <w:sz w:val="22"/>
          <w:szCs w:val="22"/>
        </w:rPr>
        <w:t>+34 697 47 07 70</w:t>
      </w:r>
    </w:p>
    <w:sectPr w:rsidR="58054B9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B5695"/>
    <w:multiLevelType w:val="hybridMultilevel"/>
    <w:tmpl w:val="8690CD88"/>
    <w:lvl w:ilvl="0" w:tplc="8C3C6518">
      <w:numFmt w:val="bullet"/>
      <w:lvlText w:val=""/>
      <w:lvlJc w:val="left"/>
      <w:pPr>
        <w:ind w:left="400" w:hanging="284"/>
      </w:pPr>
      <w:rPr>
        <w:rFonts w:hint="default" w:ascii="Symbol" w:hAnsi="Symbol"/>
      </w:rPr>
    </w:lvl>
    <w:lvl w:ilvl="1" w:tplc="B816AF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8ED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DCF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480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8E1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F66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CA8C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4A33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D57A0"/>
    <w:multiLevelType w:val="hybridMultilevel"/>
    <w:tmpl w:val="5462A49A"/>
    <w:lvl w:ilvl="0" w:tplc="125CB25C">
      <w:start w:val="1"/>
      <w:numFmt w:val="bullet"/>
      <w:lvlText w:val=""/>
      <w:lvlJc w:val="left"/>
      <w:pPr>
        <w:ind w:left="400" w:hanging="284"/>
      </w:pPr>
      <w:rPr>
        <w:rFonts w:hint="default" w:ascii="Symbol" w:hAnsi="Symbol"/>
      </w:rPr>
    </w:lvl>
    <w:lvl w:ilvl="1" w:tplc="F0D49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36C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B67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C6B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D42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F0AC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BC1E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30E2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FA7CB1"/>
    <w:multiLevelType w:val="hybridMultilevel"/>
    <w:tmpl w:val="80327034"/>
    <w:lvl w:ilvl="0" w:tplc="F51CE580">
      <w:numFmt w:val="bullet"/>
      <w:lvlText w:val=""/>
      <w:lvlJc w:val="left"/>
      <w:pPr>
        <w:ind w:left="400" w:hanging="284"/>
      </w:pPr>
      <w:rPr>
        <w:rFonts w:hint="default" w:ascii="Symbol" w:hAnsi="Symbol"/>
      </w:rPr>
    </w:lvl>
    <w:lvl w:ilvl="1" w:tplc="FE522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4D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565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BAA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8E42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106A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42E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6C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7EBD69"/>
    <w:multiLevelType w:val="hybridMultilevel"/>
    <w:tmpl w:val="56C4013A"/>
    <w:lvl w:ilvl="0" w:tplc="68D05A9E">
      <w:numFmt w:val="bullet"/>
      <w:lvlText w:val=""/>
      <w:lvlJc w:val="left"/>
      <w:pPr>
        <w:ind w:left="400" w:hanging="284"/>
      </w:pPr>
      <w:rPr>
        <w:rFonts w:hint="default" w:ascii="Symbol" w:hAnsi="Symbol"/>
      </w:rPr>
    </w:lvl>
    <w:lvl w:ilvl="1" w:tplc="B972B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C66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304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84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C0F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74A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ED3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B46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825372"/>
    <w:multiLevelType w:val="hybridMultilevel"/>
    <w:tmpl w:val="DE4466A0"/>
    <w:lvl w:ilvl="0" w:tplc="6EE0E830">
      <w:numFmt w:val="bullet"/>
      <w:lvlText w:val=""/>
      <w:lvlJc w:val="left"/>
      <w:pPr>
        <w:ind w:left="400" w:hanging="284"/>
      </w:pPr>
      <w:rPr>
        <w:rFonts w:hint="default" w:ascii="Symbol" w:hAnsi="Symbol"/>
      </w:rPr>
    </w:lvl>
    <w:lvl w:ilvl="1" w:tplc="062AD7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162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FEA5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F02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BCA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9E69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A25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6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1300785">
    <w:abstractNumId w:val="0"/>
  </w:num>
  <w:num w:numId="2" w16cid:durableId="91631056">
    <w:abstractNumId w:val="3"/>
  </w:num>
  <w:num w:numId="3" w16cid:durableId="894855332">
    <w:abstractNumId w:val="2"/>
  </w:num>
  <w:num w:numId="4" w16cid:durableId="162748165">
    <w:abstractNumId w:val="4"/>
  </w:num>
  <w:num w:numId="5" w16cid:durableId="69704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2E85FF"/>
    <w:rsid w:val="00005E93"/>
    <w:rsid w:val="00141ED4"/>
    <w:rsid w:val="002F756D"/>
    <w:rsid w:val="00525967"/>
    <w:rsid w:val="00571E55"/>
    <w:rsid w:val="00641A5A"/>
    <w:rsid w:val="00665DE5"/>
    <w:rsid w:val="00830488"/>
    <w:rsid w:val="00907CFA"/>
    <w:rsid w:val="00A5141B"/>
    <w:rsid w:val="00A51688"/>
    <w:rsid w:val="00C65906"/>
    <w:rsid w:val="00D25B57"/>
    <w:rsid w:val="00DA5BD9"/>
    <w:rsid w:val="00ED4DD5"/>
    <w:rsid w:val="013617B3"/>
    <w:rsid w:val="02EB46C2"/>
    <w:rsid w:val="038F58C9"/>
    <w:rsid w:val="0418EF38"/>
    <w:rsid w:val="051D4A3D"/>
    <w:rsid w:val="05562660"/>
    <w:rsid w:val="057B692D"/>
    <w:rsid w:val="0643363B"/>
    <w:rsid w:val="099BDF82"/>
    <w:rsid w:val="0C9339A6"/>
    <w:rsid w:val="0CDF0B28"/>
    <w:rsid w:val="0D480FE8"/>
    <w:rsid w:val="0EDE7188"/>
    <w:rsid w:val="0F1C9C5C"/>
    <w:rsid w:val="1098D907"/>
    <w:rsid w:val="131A2A75"/>
    <w:rsid w:val="143A112B"/>
    <w:rsid w:val="14BE159E"/>
    <w:rsid w:val="162F95FB"/>
    <w:rsid w:val="17D0587D"/>
    <w:rsid w:val="185B9075"/>
    <w:rsid w:val="185FFCCC"/>
    <w:rsid w:val="1A060F20"/>
    <w:rsid w:val="1A1F9420"/>
    <w:rsid w:val="1A85D519"/>
    <w:rsid w:val="1AF20130"/>
    <w:rsid w:val="1BCA50D7"/>
    <w:rsid w:val="1F42CAB0"/>
    <w:rsid w:val="1FEDC706"/>
    <w:rsid w:val="2238B0D9"/>
    <w:rsid w:val="230C3F6B"/>
    <w:rsid w:val="231F40AA"/>
    <w:rsid w:val="232B0854"/>
    <w:rsid w:val="246DF475"/>
    <w:rsid w:val="2520EB20"/>
    <w:rsid w:val="256F43E5"/>
    <w:rsid w:val="28EC243E"/>
    <w:rsid w:val="29312D2B"/>
    <w:rsid w:val="2ACCFD8C"/>
    <w:rsid w:val="2BE9BBCB"/>
    <w:rsid w:val="30F7ADC3"/>
    <w:rsid w:val="328D5706"/>
    <w:rsid w:val="33A1F5A9"/>
    <w:rsid w:val="361C3A46"/>
    <w:rsid w:val="363FD8D8"/>
    <w:rsid w:val="3757BE38"/>
    <w:rsid w:val="392FD0CD"/>
    <w:rsid w:val="3999923F"/>
    <w:rsid w:val="39B402EF"/>
    <w:rsid w:val="3A7F408E"/>
    <w:rsid w:val="3AE35427"/>
    <w:rsid w:val="3BC38ECC"/>
    <w:rsid w:val="3C2E85FF"/>
    <w:rsid w:val="3ED8E6E9"/>
    <w:rsid w:val="41E88E43"/>
    <w:rsid w:val="4204571B"/>
    <w:rsid w:val="4267E032"/>
    <w:rsid w:val="445CC7DD"/>
    <w:rsid w:val="48939F2E"/>
    <w:rsid w:val="4C079BCE"/>
    <w:rsid w:val="4C31F366"/>
    <w:rsid w:val="4CA41B12"/>
    <w:rsid w:val="4DF23DBF"/>
    <w:rsid w:val="4E334C39"/>
    <w:rsid w:val="4FBD5A6D"/>
    <w:rsid w:val="508F5C36"/>
    <w:rsid w:val="510377E7"/>
    <w:rsid w:val="52445DED"/>
    <w:rsid w:val="528CC9EA"/>
    <w:rsid w:val="56D30C02"/>
    <w:rsid w:val="58054B9F"/>
    <w:rsid w:val="58AAF451"/>
    <w:rsid w:val="5B31EA2B"/>
    <w:rsid w:val="60037614"/>
    <w:rsid w:val="6017F223"/>
    <w:rsid w:val="6247864B"/>
    <w:rsid w:val="66AA8AFC"/>
    <w:rsid w:val="6A6C7740"/>
    <w:rsid w:val="6B46DF05"/>
    <w:rsid w:val="6C412DBD"/>
    <w:rsid w:val="6CE2AF66"/>
    <w:rsid w:val="6D1CD861"/>
    <w:rsid w:val="6DA5DE7E"/>
    <w:rsid w:val="6E042C3E"/>
    <w:rsid w:val="6E7E7FC7"/>
    <w:rsid w:val="6F41AEDF"/>
    <w:rsid w:val="6F78CE7F"/>
    <w:rsid w:val="70CD1A98"/>
    <w:rsid w:val="71CA09D0"/>
    <w:rsid w:val="745ADF28"/>
    <w:rsid w:val="757E388F"/>
    <w:rsid w:val="78014476"/>
    <w:rsid w:val="786FB5D1"/>
    <w:rsid w:val="7877A357"/>
    <w:rsid w:val="78AF3921"/>
    <w:rsid w:val="7BD5901A"/>
    <w:rsid w:val="7C84B05D"/>
    <w:rsid w:val="7D0CBC2A"/>
    <w:rsid w:val="7D8A157A"/>
    <w:rsid w:val="7E953D48"/>
    <w:rsid w:val="7E9C9117"/>
    <w:rsid w:val="7E9E3E5F"/>
    <w:rsid w:val="7FB0D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85FF"/>
  <w15:chartTrackingRefBased/>
  <w15:docId w15:val="{D5C48FB7-1FBE-49CC-B216-EBE794E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uiPriority w:val="1"/>
    <w:rsid w:val="328D5706"/>
    <w:pPr>
      <w:spacing w:beforeAutospacing="1" w:afterAutospacing="1"/>
    </w:pPr>
    <w:rPr>
      <w:sz w:val="24"/>
      <w:szCs w:val="24"/>
      <w:lang w:eastAsia="es-ES"/>
    </w:rPr>
  </w:style>
  <w:style w:type="paragraph" w:styleId="Default" w:customStyle="1">
    <w:name w:val="Default"/>
    <w:basedOn w:val="Normal"/>
    <w:uiPriority w:val="1"/>
    <w:rsid w:val="328D5706"/>
    <w:rPr>
      <w:rFonts w:ascii="Arial" w:hAnsi="Arial" w:cs="Arial" w:eastAsiaTheme="minorEastAsia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D4DD5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character" w:styleId="BodyTextChar" w:customStyle="1">
    <w:name w:val="Body Text Char"/>
    <w:basedOn w:val="DefaultParagraphFont"/>
    <w:link w:val="BodyText"/>
    <w:uiPriority w:val="1"/>
    <w:rsid w:val="00ED4DD5"/>
    <w:rPr>
      <w:rFonts w:ascii="Arial MT" w:hAnsi="Arial MT" w:eastAsia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tier1.es/" TargetMode="External" Id="R4a91707d92404bd1" /><Relationship Type="http://schemas.openxmlformats.org/officeDocument/2006/relationships/hyperlink" Target="mailto:marketing@tier1.es" TargetMode="External" Id="R0487f11526ee46ab" /><Relationship Type="http://schemas.openxmlformats.org/officeDocument/2006/relationships/hyperlink" Target="mailto:sppm@comerzzia.com" TargetMode="External" Id="R81ba06b189b44d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DE LA PEÑA PÉREZ MARTÍNEZ</dc:creator>
  <keywords/>
  <dc:description/>
  <lastModifiedBy>SARA DE LA PEÑA PÉREZ MARTÍNEZ</lastModifiedBy>
  <revision>15</revision>
  <dcterms:created xsi:type="dcterms:W3CDTF">2024-01-22T21:34:00.0000000Z</dcterms:created>
  <dcterms:modified xsi:type="dcterms:W3CDTF">2024-01-23T13:42:42.6512531Z</dcterms:modified>
</coreProperties>
</file>