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1E5706" w:rsidP="02682B25" w:rsidRDefault="1E5FC1B3" w14:paraId="56CEC6F6" w14:textId="27181B80">
      <w:pPr>
        <w:spacing w:line="240" w:lineRule="auto"/>
        <w:jc w:val="center"/>
        <w:rPr>
          <w:b/>
          <w:bCs/>
          <w:sz w:val="40"/>
          <w:szCs w:val="40"/>
        </w:rPr>
      </w:pPr>
      <w:proofErr w:type="spellStart"/>
      <w:r w:rsidRPr="02682B25">
        <w:rPr>
          <w:b/>
          <w:bCs/>
          <w:sz w:val="40"/>
          <w:szCs w:val="40"/>
        </w:rPr>
        <w:t>Comerzzia</w:t>
      </w:r>
      <w:proofErr w:type="spellEnd"/>
      <w:r w:rsidRPr="02682B25">
        <w:rPr>
          <w:b/>
          <w:bCs/>
          <w:sz w:val="40"/>
          <w:szCs w:val="40"/>
        </w:rPr>
        <w:t xml:space="preserve"> refuerza su apuesta por el sector Restauración ampliando su participación en </w:t>
      </w:r>
      <w:proofErr w:type="spellStart"/>
      <w:r w:rsidRPr="02682B25">
        <w:rPr>
          <w:b/>
          <w:bCs/>
          <w:sz w:val="40"/>
          <w:szCs w:val="40"/>
        </w:rPr>
        <w:t>Nextt</w:t>
      </w:r>
      <w:proofErr w:type="spellEnd"/>
      <w:r w:rsidRPr="02682B25">
        <w:rPr>
          <w:b/>
          <w:bCs/>
          <w:sz w:val="40"/>
          <w:szCs w:val="40"/>
        </w:rPr>
        <w:t xml:space="preserve"> </w:t>
      </w:r>
    </w:p>
    <w:p w:rsidR="001E5706" w:rsidP="02682B25" w:rsidRDefault="1E5FC1B3" w14:paraId="162AD3FF" w14:textId="35BF86DF">
      <w:pPr>
        <w:pStyle w:val="Prrafodelista"/>
        <w:numPr>
          <w:ilvl w:val="0"/>
          <w:numId w:val="1"/>
        </w:numPr>
        <w:spacing w:line="240" w:lineRule="auto"/>
        <w:jc w:val="center"/>
        <w:rPr>
          <w:sz w:val="24"/>
          <w:szCs w:val="24"/>
        </w:rPr>
      </w:pPr>
      <w:r w:rsidRPr="0705CB2B" w:rsidR="1E5FC1B3">
        <w:rPr>
          <w:sz w:val="28"/>
          <w:szCs w:val="28"/>
        </w:rPr>
        <w:t xml:space="preserve"> La compañía se hace con un 12% adicional del capital convirtiéndose en socio mayoritario</w:t>
      </w:r>
    </w:p>
    <w:p w:rsidR="001E5706" w:rsidP="40AA2DAE" w:rsidRDefault="3A278278" w14:paraId="050FAB6C" w14:textId="6977DD39">
      <w:pPr>
        <w:jc w:val="both"/>
      </w:pPr>
      <w:r w:rsidR="09863B5C">
        <w:drawing>
          <wp:inline wp14:editId="721448B7" wp14:anchorId="79E4F32D">
            <wp:extent cx="4572000" cy="47625"/>
            <wp:effectExtent l="0" t="0" r="0" b="0"/>
            <wp:docPr id="1809395751" name="" title=""/>
            <wp:cNvGraphicFramePr>
              <a:graphicFrameLocks noChangeAspect="1"/>
            </wp:cNvGraphicFramePr>
            <a:graphic>
              <a:graphicData uri="http://schemas.openxmlformats.org/drawingml/2006/picture">
                <pic:pic>
                  <pic:nvPicPr>
                    <pic:cNvPr id="0" name=""/>
                    <pic:cNvPicPr/>
                  </pic:nvPicPr>
                  <pic:blipFill>
                    <a:blip r:embed="Rf56fae26d4694ded">
                      <a:extLst>
                        <a:ext xmlns:a="http://schemas.openxmlformats.org/drawingml/2006/main" uri="{28A0092B-C50C-407E-A947-70E740481C1C}">
                          <a14:useLocalDpi val="0"/>
                        </a:ext>
                      </a:extLst>
                    </a:blip>
                    <a:stretch>
                      <a:fillRect/>
                    </a:stretch>
                  </pic:blipFill>
                  <pic:spPr>
                    <a:xfrm>
                      <a:off x="0" y="0"/>
                      <a:ext cx="4572000" cy="47625"/>
                    </a:xfrm>
                    <a:prstGeom prst="rect">
                      <a:avLst/>
                    </a:prstGeom>
                  </pic:spPr>
                </pic:pic>
              </a:graphicData>
            </a:graphic>
          </wp:inline>
        </w:drawing>
      </w:r>
      <w:r>
        <w:br/>
      </w:r>
      <w:r w:rsidRPr="0705CB2B" w:rsidR="09863B5C">
        <w:rPr>
          <w:rFonts w:ascii="Calibri" w:hAnsi="Calibri" w:eastAsia="Calibri" w:cs="Calibri"/>
          <w:noProof w:val="0"/>
          <w:sz w:val="22"/>
          <w:szCs w:val="22"/>
          <w:lang w:val="es-ES"/>
        </w:rPr>
        <w:t xml:space="preserve"> </w:t>
      </w:r>
    </w:p>
    <w:p w:rsidR="001E5706" w:rsidP="40AA2DAE" w:rsidRDefault="3A278278" w14:paraId="658B1F94" w14:textId="18FECA1D">
      <w:pPr>
        <w:jc w:val="both"/>
      </w:pPr>
      <w:r w:rsidRPr="0705CB2B" w:rsidR="3A278278">
        <w:rPr>
          <w:i w:val="1"/>
          <w:iCs w:val="1"/>
        </w:rPr>
        <w:t xml:space="preserve">15 de febrero de 2024. </w:t>
      </w:r>
      <w:r w:rsidR="2926EFA9">
        <w:rPr/>
        <w:t xml:space="preserve">En un movimiento estratégico que subraya su compromiso con el sector de la restauración, </w:t>
      </w:r>
      <w:r w:rsidR="2926EFA9">
        <w:rPr/>
        <w:t>Comerzzia</w:t>
      </w:r>
      <w:r w:rsidR="2926EFA9">
        <w:rPr/>
        <w:t xml:space="preserve">, </w:t>
      </w:r>
      <w:r w:rsidR="3D43D0F3">
        <w:rPr/>
        <w:t>filial</w:t>
      </w:r>
      <w:r w:rsidR="2926EFA9">
        <w:rPr/>
        <w:t xml:space="preserve"> </w:t>
      </w:r>
      <w:r w:rsidR="3AB67A8B">
        <w:rPr/>
        <w:t>de</w:t>
      </w:r>
      <w:r w:rsidR="2926EFA9">
        <w:rPr/>
        <w:t xml:space="preserve">l Grupo Tier1, ha anunciado la adquisición de un 12% adicional de </w:t>
      </w:r>
      <w:r w:rsidR="2926EFA9">
        <w:rPr/>
        <w:t>Nextt</w:t>
      </w:r>
      <w:r w:rsidR="2926EFA9">
        <w:rPr/>
        <w:t xml:space="preserve">, haciéndose así con la participación mayoritaria de esta empresa catalana especializada en soluciones tecnológicas para el sector HORECA. </w:t>
      </w:r>
    </w:p>
    <w:p w:rsidR="001E5706" w:rsidP="40AA2DAE" w:rsidRDefault="2926EFA9" w14:paraId="16326EFC" w14:textId="40DFEDA5">
      <w:pPr>
        <w:jc w:val="both"/>
      </w:pPr>
      <w:r>
        <w:t xml:space="preserve">Con un 40% previamente adquirido en septiembre de 2023, </w:t>
      </w:r>
      <w:proofErr w:type="spellStart"/>
      <w:r>
        <w:t>Comerzzia</w:t>
      </w:r>
      <w:proofErr w:type="spellEnd"/>
      <w:r>
        <w:t xml:space="preserve"> ha activado la opción de compra para adquirir un 12% más, logrando una participación mayoritaria del 52%. </w:t>
      </w:r>
      <w:r w:rsidR="00BE6AD7">
        <w:t xml:space="preserve">El 48% restante continua en manos de los socios fundadores, que al mismo tiempo son directivos de la Sociedad. </w:t>
      </w:r>
      <w:r>
        <w:t>Esta operación, contemplada en el pacto original y para el que contaba con un margen de ejecución de hasta un año, se ha consumado en apenas cinco meses, como consecuencia de la buena marcha de la integración de la compañía y de la sinergia creciente entre las dos empresas</w:t>
      </w:r>
      <w:r w:rsidR="00997EEE">
        <w:t xml:space="preserve">. </w:t>
      </w:r>
    </w:p>
    <w:p w:rsidR="001E5706" w:rsidP="40AA2DAE" w:rsidRDefault="2926EFA9" w14:paraId="6DB4D7F5" w14:textId="17703D1E">
      <w:pPr>
        <w:jc w:val="both"/>
      </w:pPr>
      <w:r>
        <w:t xml:space="preserve">La operación se ha completado en dos fases: la adquisición directa del 6% de las acciones de los socios fundadores y una ampliación de capital por el mismo porcentaje, íntegramente suscrita por </w:t>
      </w:r>
      <w:proofErr w:type="spellStart"/>
      <w:r>
        <w:t>Comerzzia</w:t>
      </w:r>
      <w:proofErr w:type="spellEnd"/>
      <w:r>
        <w:t>.</w:t>
      </w:r>
    </w:p>
    <w:p w:rsidR="00D43364" w:rsidP="00997EEE" w:rsidRDefault="2926EFA9" w14:paraId="2E7C696E" w14:textId="77777777">
      <w:pPr>
        <w:jc w:val="both"/>
      </w:pPr>
      <w:r>
        <w:t xml:space="preserve">Este movimiento estratégico refuerza el enfoque de </w:t>
      </w:r>
      <w:proofErr w:type="spellStart"/>
      <w:r>
        <w:t>Comerzzia</w:t>
      </w:r>
      <w:proofErr w:type="spellEnd"/>
      <w:r>
        <w:t xml:space="preserve"> hacia el sector de la restauración, constatando su dedicación a impulsar la innovación y ofrecer soluciones que respondan a las necesidades cambiantes del mercado. Con ello </w:t>
      </w:r>
      <w:proofErr w:type="spellStart"/>
      <w:r>
        <w:t>Comerzzia</w:t>
      </w:r>
      <w:proofErr w:type="spellEnd"/>
      <w:r>
        <w:t xml:space="preserve"> reafirma su posición como un actor clave en la transformación digital del sector de la Restauración, marcando un hito importante en su trayectoria y en la del Grupo Tier1. </w:t>
      </w:r>
    </w:p>
    <w:p w:rsidR="00D43364" w:rsidP="00997EEE" w:rsidRDefault="00997EEE" w14:paraId="673344BC" w14:textId="6A1A0A9B">
      <w:pPr>
        <w:jc w:val="both"/>
      </w:pPr>
      <w:r w:rsidR="00997EEE">
        <w:rPr/>
        <w:t>Nextt</w:t>
      </w:r>
      <w:r w:rsidR="00997EEE">
        <w:rPr/>
        <w:t xml:space="preserve"> </w:t>
      </w:r>
      <w:r w:rsidR="00997EEE">
        <w:rPr/>
        <w:t>es un referente en el sector</w:t>
      </w:r>
      <w:r w:rsidR="00D45BA4">
        <w:rPr/>
        <w:t xml:space="preserve"> </w:t>
      </w:r>
      <w:r w:rsidR="00D45BA4">
        <w:rPr/>
        <w:t>HORECA</w:t>
      </w:r>
      <w:r w:rsidR="00D43364">
        <w:rPr/>
        <w:t>,</w:t>
      </w:r>
      <w:r w:rsidR="00D43364">
        <w:rPr/>
        <w:t xml:space="preserve"> para</w:t>
      </w:r>
      <w:r w:rsidR="00997EEE">
        <w:rPr/>
        <w:t xml:space="preserve"> el que cuenta con</w:t>
      </w:r>
      <w:r w:rsidR="00997EEE">
        <w:rPr/>
        <w:t xml:space="preserve"> un producto ampliamente </w:t>
      </w:r>
      <w:r w:rsidR="00997EEE">
        <w:rPr/>
        <w:t>rodado</w:t>
      </w:r>
      <w:r w:rsidR="00D43364">
        <w:rPr/>
        <w:t xml:space="preserve">, con tecnología de vanguardia y un servicio de calidad personalizado, que ahora se dirige al mercado con un portfolio más amplio gracias a </w:t>
      </w:r>
      <w:r w:rsidR="00D43364">
        <w:rPr/>
        <w:t>servicios de Infraestructura y Operaciones IT</w:t>
      </w:r>
      <w:r w:rsidR="00D43364">
        <w:rPr/>
        <w:t xml:space="preserve"> del Grupo. Esta nueva operación refuerza aún más</w:t>
      </w:r>
      <w:r w:rsidR="00D43364">
        <w:rPr/>
        <w:t xml:space="preserve"> su posición financiera y de gestión, lo que le está permitiendo acometer inversiones estratégicas a nivel de negocio y completar su I+D+i para potenciar su crecimiento</w:t>
      </w:r>
      <w:r w:rsidR="00D43364">
        <w:rPr/>
        <w:t>.</w:t>
      </w:r>
    </w:p>
    <w:p w:rsidR="001E5706" w:rsidP="40AA2DAE" w:rsidRDefault="2926EFA9" w14:paraId="3DD88B8E" w14:textId="53857AF0">
      <w:pPr>
        <w:jc w:val="both"/>
        <w:rPr>
          <w:b w:val="1"/>
          <w:bCs w:val="1"/>
          <w:sz w:val="28"/>
          <w:szCs w:val="28"/>
        </w:rPr>
      </w:pPr>
      <w:r w:rsidRPr="0705CB2B" w:rsidR="2926EFA9">
        <w:rPr>
          <w:b w:val="1"/>
          <w:bCs w:val="1"/>
          <w:sz w:val="28"/>
          <w:szCs w:val="28"/>
        </w:rPr>
        <w:t xml:space="preserve">Presencia de </w:t>
      </w:r>
      <w:r w:rsidRPr="0705CB2B" w:rsidR="2926EFA9">
        <w:rPr>
          <w:b w:val="1"/>
          <w:bCs w:val="1"/>
          <w:sz w:val="28"/>
          <w:szCs w:val="28"/>
        </w:rPr>
        <w:t>comerzzia</w:t>
      </w:r>
      <w:r w:rsidRPr="0705CB2B" w:rsidR="65AC7F4F">
        <w:rPr>
          <w:b w:val="1"/>
          <w:bCs w:val="1"/>
          <w:sz w:val="28"/>
          <w:szCs w:val="28"/>
        </w:rPr>
        <w:t xml:space="preserve"> </w:t>
      </w:r>
      <w:r w:rsidRPr="0705CB2B" w:rsidR="2926EFA9">
        <w:rPr>
          <w:b w:val="1"/>
          <w:bCs w:val="1"/>
          <w:sz w:val="28"/>
          <w:szCs w:val="28"/>
        </w:rPr>
        <w:t>Nextt</w:t>
      </w:r>
      <w:r w:rsidRPr="0705CB2B" w:rsidR="2926EFA9">
        <w:rPr>
          <w:b w:val="1"/>
          <w:bCs w:val="1"/>
          <w:sz w:val="28"/>
          <w:szCs w:val="28"/>
        </w:rPr>
        <w:t xml:space="preserve"> en la agenda del sector</w:t>
      </w:r>
    </w:p>
    <w:p w:rsidR="001E5706" w:rsidP="40AA2DAE" w:rsidRDefault="201BB272" w14:paraId="21F87898" w14:textId="0D8EC820">
      <w:pPr>
        <w:jc w:val="both"/>
      </w:pPr>
      <w:r w:rsidR="201BB272">
        <w:rPr/>
        <w:t xml:space="preserve">La gran puesta de largo de </w:t>
      </w:r>
      <w:r w:rsidR="201BB272">
        <w:rPr/>
        <w:t>comerzzia</w:t>
      </w:r>
      <w:r w:rsidR="0FCA2EC1">
        <w:rPr/>
        <w:t xml:space="preserve"> </w:t>
      </w:r>
      <w:r w:rsidR="201BB272">
        <w:rPr/>
        <w:t>Nextt</w:t>
      </w:r>
      <w:r w:rsidR="2926EFA9">
        <w:rPr/>
        <w:t xml:space="preserve"> </w:t>
      </w:r>
      <w:r w:rsidR="30389A63">
        <w:rPr/>
        <w:t>se materializó en el X Encuentro Restauración Organizada</w:t>
      </w:r>
      <w:r w:rsidR="4BCFA563">
        <w:rPr/>
        <w:t xml:space="preserve"> celebrado en noviembre de 2023. </w:t>
      </w:r>
      <w:r w:rsidR="02EFBC2F">
        <w:rPr/>
        <w:t xml:space="preserve">Al ser una de las citas anuales más importantes del sector, </w:t>
      </w:r>
      <w:r w:rsidR="02EFBC2F">
        <w:rPr/>
        <w:t>comerzzia</w:t>
      </w:r>
      <w:r w:rsidR="54DCC2EC">
        <w:rPr/>
        <w:t xml:space="preserve"> </w:t>
      </w:r>
      <w:r w:rsidR="02EFBC2F">
        <w:rPr/>
        <w:t>Nextt</w:t>
      </w:r>
      <w:r w:rsidR="02EFBC2F">
        <w:rPr/>
        <w:t xml:space="preserve"> </w:t>
      </w:r>
      <w:r w:rsidR="71AE93B0">
        <w:rPr/>
        <w:t xml:space="preserve">decidió tener </w:t>
      </w:r>
      <w:r w:rsidR="30389A63">
        <w:rPr/>
        <w:t>presencia como uno de los patrocinadores principales d</w:t>
      </w:r>
      <w:r w:rsidR="47564A80">
        <w:rPr/>
        <w:t xml:space="preserve">e este </w:t>
      </w:r>
      <w:r w:rsidR="30389A63">
        <w:rPr/>
        <w:t xml:space="preserve">evento organizado por </w:t>
      </w:r>
      <w:r w:rsidR="30389A63">
        <w:rPr/>
        <w:t>Alimarket</w:t>
      </w:r>
      <w:r w:rsidR="13A6143A">
        <w:rPr/>
        <w:t>.</w:t>
      </w:r>
    </w:p>
    <w:p w:rsidR="1FB5EEE8" w:rsidP="0705CB2B" w:rsidRDefault="1FB5EEE8" w14:paraId="390AD608" w14:textId="4DCA6401">
      <w:pPr>
        <w:pStyle w:val="Normal"/>
        <w:suppressLineNumbers w:val="0"/>
        <w:bidi w:val="0"/>
        <w:spacing w:before="0" w:beforeAutospacing="off" w:after="160" w:afterAutospacing="off" w:line="259" w:lineRule="auto"/>
        <w:ind w:left="0" w:right="0"/>
        <w:jc w:val="both"/>
      </w:pPr>
      <w:r w:rsidR="1FB5EEE8">
        <w:rPr/>
        <w:t>Este posicionamiento en la agenda del sector de la restauración continuará fortaleciéndose</w:t>
      </w:r>
      <w:r w:rsidR="0F2D41D6">
        <w:rPr/>
        <w:t xml:space="preserve"> este año.</w:t>
      </w:r>
      <w:r w:rsidR="1FB5EEE8">
        <w:rPr/>
        <w:t xml:space="preserve"> </w:t>
      </w:r>
      <w:r w:rsidR="139F2560">
        <w:rPr/>
        <w:t>D</w:t>
      </w:r>
      <w:r w:rsidR="24F0C43F">
        <w:rPr/>
        <w:t>el 19 al 21 de febrero de 2024</w:t>
      </w:r>
      <w:r w:rsidR="245D97DB">
        <w:rPr/>
        <w:t>,</w:t>
      </w:r>
      <w:r w:rsidR="0C69FB48">
        <w:rPr/>
        <w:t xml:space="preserve"> </w:t>
      </w:r>
      <w:r w:rsidR="24F0C43F">
        <w:rPr/>
        <w:t>comerzzia</w:t>
      </w:r>
      <w:r w:rsidR="5E3D424B">
        <w:rPr/>
        <w:t xml:space="preserve"> </w:t>
      </w:r>
      <w:r w:rsidR="24F0C43F">
        <w:rPr/>
        <w:t>Nextt</w:t>
      </w:r>
      <w:r w:rsidR="24F0C43F">
        <w:rPr/>
        <w:t xml:space="preserve"> será una de las empresas colaboradoras de HIP 2024, el evento de referencia de innovación para el sector </w:t>
      </w:r>
      <w:r w:rsidR="24F0C43F">
        <w:rPr/>
        <w:t>Horeca</w:t>
      </w:r>
      <w:r w:rsidR="24F0C43F">
        <w:rPr/>
        <w:t xml:space="preserve"> que se celebrará en IFEMA Madrid.</w:t>
      </w:r>
      <w:r w:rsidR="0B3F033A">
        <w:rPr/>
        <w:t xml:space="preserve"> </w:t>
      </w:r>
      <w:r w:rsidR="24F0C43F">
        <w:rPr/>
        <w:t xml:space="preserve">HIP es el mayor encuentro entre profesionales y empresarios que quieren liderar la nueva </w:t>
      </w:r>
      <w:r w:rsidR="24F0C43F">
        <w:rPr/>
        <w:t>Horeca</w:t>
      </w:r>
      <w:r w:rsidR="7B04119E">
        <w:rPr/>
        <w:t xml:space="preserve">. El grupo mostrará aquí sus productos </w:t>
      </w:r>
      <w:r w:rsidR="1970C8F3">
        <w:rPr/>
        <w:t xml:space="preserve">especializados </w:t>
      </w:r>
      <w:r w:rsidR="08172D4D">
        <w:rPr/>
        <w:t xml:space="preserve">para el </w:t>
      </w:r>
      <w:r w:rsidR="24F0C43F">
        <w:rPr/>
        <w:t>sector de la hostelería</w:t>
      </w:r>
      <w:r w:rsidR="35ABED4A">
        <w:rPr/>
        <w:t xml:space="preserve">, </w:t>
      </w:r>
      <w:r w:rsidR="3A760C7B">
        <w:rPr/>
        <w:t xml:space="preserve">destacando el </w:t>
      </w:r>
      <w:r w:rsidR="35ABED4A">
        <w:rPr/>
        <w:t>aport</w:t>
      </w:r>
      <w:r w:rsidR="47383F8F">
        <w:rPr/>
        <w:t xml:space="preserve">e de valor de sus </w:t>
      </w:r>
      <w:r w:rsidR="2A7DA6BE">
        <w:rPr/>
        <w:t>soluciones</w:t>
      </w:r>
      <w:r w:rsidR="47383F8F">
        <w:rPr/>
        <w:t xml:space="preserve"> </w:t>
      </w:r>
      <w:r w:rsidR="5AB3F5A9">
        <w:rPr/>
        <w:t>par</w:t>
      </w:r>
      <w:r w:rsidR="47383F8F">
        <w:rPr/>
        <w:t>a los</w:t>
      </w:r>
      <w:r w:rsidR="35ABED4A">
        <w:rPr/>
        <w:t xml:space="preserve"> franquiciado</w:t>
      </w:r>
      <w:r w:rsidR="65553738">
        <w:rPr/>
        <w:t>s</w:t>
      </w:r>
      <w:r w:rsidR="24F0C43F">
        <w:rPr/>
        <w:t>.</w:t>
      </w:r>
      <w:r w:rsidR="2926EFA9">
        <w:rPr/>
        <w:t xml:space="preserve"> </w:t>
      </w:r>
    </w:p>
    <w:p w:rsidR="0705CB2B" w:rsidP="0705CB2B" w:rsidRDefault="0705CB2B" w14:paraId="4EB6A487" w14:textId="6CB69E48">
      <w:pPr>
        <w:jc w:val="both"/>
        <w:rPr>
          <w:b w:val="1"/>
          <w:bCs w:val="1"/>
          <w:sz w:val="28"/>
          <w:szCs w:val="28"/>
        </w:rPr>
      </w:pPr>
    </w:p>
    <w:p w:rsidR="001E5706" w:rsidP="3EF475D8" w:rsidRDefault="2926EFA9" w14:paraId="062DDEBF" w14:textId="2F564919" w14:noSpellErr="1">
      <w:pPr>
        <w:jc w:val="both"/>
        <w:rPr>
          <w:b w:val="1"/>
          <w:bCs w:val="1"/>
          <w:sz w:val="28"/>
          <w:szCs w:val="28"/>
        </w:rPr>
      </w:pPr>
      <w:r w:rsidRPr="3EF475D8" w:rsidR="2926EFA9">
        <w:rPr>
          <w:b w:val="1"/>
          <w:bCs w:val="1"/>
          <w:sz w:val="28"/>
          <w:szCs w:val="28"/>
        </w:rPr>
        <w:t xml:space="preserve">Acerca de Grupo Tier1  </w:t>
      </w:r>
    </w:p>
    <w:p w:rsidR="001E5706" w:rsidP="40AA2DAE" w:rsidRDefault="2926EFA9" w14:paraId="7DBF8165" w14:textId="37AAEA85">
      <w:pPr>
        <w:jc w:val="both"/>
      </w:pPr>
      <w:proofErr w:type="spellStart"/>
      <w:r>
        <w:t>Comerzzia</w:t>
      </w:r>
      <w:proofErr w:type="spellEnd"/>
      <w:r>
        <w:t xml:space="preserve"> es la filial de Tier1 especializada en el desarrollo software para el sector del </w:t>
      </w:r>
      <w:proofErr w:type="spellStart"/>
      <w:r>
        <w:t>Retail</w:t>
      </w:r>
      <w:proofErr w:type="spellEnd"/>
      <w:r w:rsidR="1C08B947">
        <w:t xml:space="preserve">. </w:t>
      </w:r>
      <w:r>
        <w:t xml:space="preserve">Con 30 años de experiencia en el sector de las tecnologías, Tier1 es un grupo empresarial con sede en Sevilla y presencia propia en toda Iberia. Actualmente posee tres líneas de actividad: la construcción e implantación de software, servicios IT en cuanto a despliegue y mantenimiento y servicios </w:t>
      </w:r>
      <w:proofErr w:type="spellStart"/>
      <w:r>
        <w:t>Praas</w:t>
      </w:r>
      <w:proofErr w:type="spellEnd"/>
      <w:r>
        <w:t xml:space="preserve">. </w:t>
      </w:r>
    </w:p>
    <w:p w:rsidR="00D43364" w:rsidP="72674E21" w:rsidRDefault="2926EFA9" w14:paraId="28537AAE" w14:textId="2B0D41BC">
      <w:pPr>
        <w:pStyle w:val="Normal"/>
        <w:jc w:val="both"/>
      </w:pPr>
      <w:r w:rsidR="2926EFA9">
        <w:rPr/>
        <w:t xml:space="preserve">Con más de 1.000 clientes y más de 300 empleados, cotiza en BME </w:t>
      </w:r>
      <w:r w:rsidR="2926EFA9">
        <w:rPr/>
        <w:t>Growth</w:t>
      </w:r>
      <w:r w:rsidR="2926EFA9">
        <w:rPr/>
        <w:t xml:space="preserve"> desde junio de 2018, el mercado español de capitales especializado en pymes en fase de crecimiento.</w:t>
      </w:r>
      <w:r w:rsidR="2926EFA9">
        <w:rPr/>
        <w:t xml:space="preserve"> </w:t>
      </w:r>
      <w:r w:rsidRPr="0705CB2B" w:rsidR="00D45BA4">
        <w:rPr/>
        <w:t>Las cifras de cierre de 2023</w:t>
      </w:r>
      <w:r w:rsidRPr="0705CB2B" w:rsidR="3D89C218">
        <w:rPr/>
        <w:t>,</w:t>
      </w:r>
      <w:r w:rsidRPr="0705CB2B" w:rsidR="00D45BA4">
        <w:rPr/>
        <w:t xml:space="preserve"> </w:t>
      </w:r>
      <w:r w:rsidR="0E4C865A">
        <w:rPr/>
        <w:t>pendientes de auditoría</w:t>
      </w:r>
      <w:r w:rsidR="199874EF">
        <w:rPr/>
        <w:t>,</w:t>
      </w:r>
      <w:r w:rsidRPr="0705CB2B" w:rsidR="0E4C865A">
        <w:rPr/>
        <w:t xml:space="preserve"> </w:t>
      </w:r>
      <w:r w:rsidRPr="72674E21" w:rsidR="00D45BA4">
        <w:rPr>
          <w:shd w:val="clear" w:color="auto" w:fill="FFFFFF"/>
        </w:rPr>
        <w:t xml:space="preserve">avanzadas por el Grupo, informan de unos ingresos de 21,8 millones de euros y un EBIITDA de 3,2 millones de euros,</w:t>
      </w:r>
      <w:r w:rsidRPr="72674E21" w:rsidR="00D43364">
        <w:rPr>
          <w:rStyle w:val="normaltextrun"/>
          <w:rFonts w:ascii="Arial" w:hAnsi="Arial" w:cs="Arial"/>
          <w:color w:val="003045"/>
        </w:rPr>
        <w:t xml:space="preserve"> </w:t>
      </w:r>
      <w:r w:rsidR="00D43364">
        <w:rPr/>
        <w:t xml:space="preserve">manteniendo la solidez y solvencia de su balance, con </w:t>
      </w:r>
      <w:r w:rsidR="66F800A4">
        <w:rPr/>
        <w:t xml:space="preserve">una </w:t>
      </w:r>
      <w:r w:rsidR="00D43364">
        <w:rPr/>
        <w:t>elevada liquidez y bajo nivel de endeudamiento.  </w:t>
      </w:r>
    </w:p>
    <w:p w:rsidR="001E5706" w:rsidP="40AA2DAE" w:rsidRDefault="2926EFA9" w14:paraId="0A2DD6A5" w14:textId="2AE0FE53">
      <w:pPr>
        <w:jc w:val="both"/>
      </w:pPr>
      <w:r>
        <w:t xml:space="preserve">El Grupo es propietario de </w:t>
      </w:r>
      <w:proofErr w:type="spellStart"/>
      <w:r>
        <w:t>comerzzia</w:t>
      </w:r>
      <w:proofErr w:type="spellEnd"/>
      <w:r>
        <w:t xml:space="preserve">, solución de software específicamente construida para el sector </w:t>
      </w:r>
      <w:proofErr w:type="spellStart"/>
      <w:r>
        <w:t>Retail</w:t>
      </w:r>
      <w:proofErr w:type="spellEnd"/>
      <w:r>
        <w:t xml:space="preserve">, y que ha venido siendo referenciada desde 2016 por la prestigiosa consultora internacional Gartner como una de las mejores soluciones a nivel mundial para abordar la casuística del comercio unificado.  </w:t>
      </w:r>
    </w:p>
    <w:p w:rsidR="00D45BA4" w:rsidP="0705CB2B" w:rsidRDefault="2926EFA9" w14:paraId="7E40A4E3" w14:textId="206C2A39">
      <w:pPr>
        <w:jc w:val="both"/>
      </w:pPr>
      <w:r w:rsidR="2926EFA9">
        <w:rPr/>
        <w:t xml:space="preserve">Desde 2017, el Grupo Tier1 ha venido desarrollando una estrategia de crecimiento inorgánico adquiriendo la mayoría del capital de las sociedades </w:t>
      </w:r>
      <w:r w:rsidR="2926EFA9">
        <w:rPr/>
        <w:t>Dinamic</w:t>
      </w:r>
      <w:r w:rsidR="2926EFA9">
        <w:rPr/>
        <w:t xml:space="preserve"> </w:t>
      </w:r>
      <w:r w:rsidR="2926EFA9">
        <w:rPr/>
        <w:t>Area</w:t>
      </w:r>
      <w:r w:rsidR="2926EFA9">
        <w:rPr/>
        <w:t xml:space="preserve"> en Sevilla, ASG en Madrid, </w:t>
      </w:r>
      <w:r w:rsidR="2926EFA9">
        <w:rPr/>
        <w:t>Compudata</w:t>
      </w:r>
      <w:r w:rsidR="2926EFA9">
        <w:rPr/>
        <w:t xml:space="preserve"> en Bilbao y CPI </w:t>
      </w:r>
      <w:r w:rsidR="2926EFA9">
        <w:rPr/>
        <w:t>Retail</w:t>
      </w:r>
      <w:r w:rsidR="2926EFA9">
        <w:rPr/>
        <w:t xml:space="preserve"> en Lisboa, además de la filial </w:t>
      </w:r>
      <w:r w:rsidR="2926EFA9">
        <w:rPr/>
        <w:t>Comerzzia</w:t>
      </w:r>
      <w:r w:rsidR="2926EFA9">
        <w:rPr/>
        <w:t xml:space="preserve"> Brasil constituida en 2022 junto con su socio y </w:t>
      </w:r>
      <w:r w:rsidR="2926EFA9">
        <w:rPr/>
        <w:t>partner</w:t>
      </w:r>
      <w:r w:rsidR="2926EFA9">
        <w:rPr/>
        <w:t xml:space="preserve"> Seidor </w:t>
      </w:r>
      <w:r w:rsidR="2926EFA9">
        <w:rPr/>
        <w:t>Retail</w:t>
      </w:r>
      <w:r w:rsidR="2926EFA9">
        <w:rPr/>
        <w:t xml:space="preserve"> Brasil</w:t>
      </w:r>
      <w:r w:rsidR="00D45BA4">
        <w:rPr/>
        <w:t xml:space="preserve">. </w:t>
      </w:r>
      <w:r w:rsidR="00D45BA4">
        <w:rPr/>
        <w:t xml:space="preserve">En </w:t>
      </w:r>
      <w:r w:rsidR="54AC49A3">
        <w:rPr/>
        <w:t>s</w:t>
      </w:r>
      <w:r w:rsidR="00D45BA4">
        <w:rPr/>
        <w:t>eptiembre</w:t>
      </w:r>
      <w:r w:rsidR="00D45BA4">
        <w:rPr/>
        <w:t xml:space="preserve"> de 2023 entró en el capital </w:t>
      </w:r>
      <w:r w:rsidR="00D45BA4">
        <w:rPr/>
        <w:t>Nextt</w:t>
      </w:r>
      <w:r w:rsidR="00D45BA4">
        <w:rPr/>
        <w:t>, con sede en Barcelona, en la que alcanza ahora la mayoría.</w:t>
      </w:r>
    </w:p>
    <w:p w:rsidR="001E5706" w:rsidP="40AA2DAE" w:rsidRDefault="2926EFA9" w14:paraId="5C1A07E2" w14:textId="54488C71">
      <w:pPr>
        <w:jc w:val="both"/>
      </w:pPr>
      <w:r w:rsidR="2926EFA9">
        <w:rPr/>
        <w:t>Tier1 tiene presencia internacional y cuenta en su cartera actual con clientes en más de 20 países.</w:t>
      </w:r>
    </w:p>
    <w:p w:rsidR="5307903E" w:rsidP="5307903E" w:rsidRDefault="5307903E" w14:paraId="026D5628" w14:textId="41EAFCC8">
      <w:pPr>
        <w:pStyle w:val="Normal"/>
        <w:jc w:val="both"/>
      </w:pPr>
    </w:p>
    <w:p w:rsidR="5307903E" w:rsidP="5307903E" w:rsidRDefault="5307903E" w14:paraId="227E5202" w14:textId="0392BD8E">
      <w:pPr>
        <w:pStyle w:val="Normal"/>
        <w:jc w:val="both"/>
      </w:pPr>
    </w:p>
    <w:p w:rsidR="3B148A3C" w:rsidP="5307903E" w:rsidRDefault="3B148A3C" w14:paraId="0C18E6A4" w14:textId="18E22217">
      <w:pPr>
        <w:pStyle w:val="Normal"/>
        <w:suppressLineNumbers w:val="0"/>
        <w:bidi w:val="0"/>
        <w:spacing w:before="0" w:beforeAutospacing="off" w:after="160" w:afterAutospacing="off" w:line="259" w:lineRule="auto"/>
        <w:ind w:left="0" w:right="0"/>
        <w:jc w:val="both"/>
        <w:rPr>
          <w:b w:val="1"/>
          <w:bCs w:val="1"/>
        </w:rPr>
      </w:pPr>
      <w:r w:rsidRPr="5307903E" w:rsidR="3B148A3C">
        <w:rPr>
          <w:b w:val="1"/>
          <w:bCs w:val="1"/>
        </w:rPr>
        <w:t>Para más información:</w:t>
      </w:r>
    </w:p>
    <w:p w:rsidR="3B148A3C" w:rsidP="5307903E" w:rsidRDefault="3B148A3C" w14:paraId="31A1C6D7" w14:textId="4AD288DE">
      <w:pPr>
        <w:pStyle w:val="Normal"/>
        <w:suppressLineNumbers w:val="0"/>
        <w:bidi w:val="0"/>
        <w:spacing w:before="0" w:beforeAutospacing="off" w:after="160" w:afterAutospacing="off" w:line="259" w:lineRule="auto"/>
        <w:ind w:left="0" w:right="0"/>
        <w:jc w:val="both"/>
      </w:pPr>
      <w:hyperlink r:id="Rf4c52c23c3fd4a19">
        <w:r w:rsidRPr="5307903E" w:rsidR="3B148A3C">
          <w:rPr>
            <w:rStyle w:val="Hyperlink"/>
          </w:rPr>
          <w:t>sppm@comerzzia.com</w:t>
        </w:r>
      </w:hyperlink>
    </w:p>
    <w:p w:rsidR="3B148A3C" w:rsidP="5307903E" w:rsidRDefault="3B148A3C" w14:paraId="5D6B2E44" w14:textId="45E8E262">
      <w:pPr>
        <w:pStyle w:val="Normal"/>
        <w:suppressLineNumbers w:val="0"/>
        <w:bidi w:val="0"/>
        <w:spacing w:before="0" w:beforeAutospacing="off" w:after="160" w:afterAutospacing="off" w:line="259" w:lineRule="auto"/>
        <w:ind w:left="0" w:right="0"/>
        <w:jc w:val="both"/>
      </w:pPr>
      <w:r w:rsidR="3B148A3C">
        <w:rPr/>
        <w:t>+34 697 47 07 70</w:t>
      </w:r>
    </w:p>
    <w:p w:rsidR="3B148A3C" w:rsidP="5307903E" w:rsidRDefault="3B148A3C" w14:paraId="72DB4AB9" w14:textId="5CE04C4B">
      <w:pPr>
        <w:pStyle w:val="Normal"/>
        <w:suppressLineNumbers w:val="0"/>
        <w:bidi w:val="0"/>
        <w:spacing w:before="0" w:beforeAutospacing="off" w:after="160" w:afterAutospacing="off" w:line="259" w:lineRule="auto"/>
        <w:ind w:left="0" w:right="0"/>
        <w:jc w:val="both"/>
      </w:pPr>
      <w:hyperlink r:id="Red7cec51cd004040">
        <w:r w:rsidRPr="5307903E" w:rsidR="3B148A3C">
          <w:rPr>
            <w:rStyle w:val="Hyperlink"/>
          </w:rPr>
          <w:t>www.comerzzia.com</w:t>
        </w:r>
      </w:hyperlink>
    </w:p>
    <w:p w:rsidR="5307903E" w:rsidP="5307903E" w:rsidRDefault="5307903E" w14:paraId="5A0EAEC6" w14:textId="29275A78">
      <w:pPr>
        <w:pStyle w:val="Normal"/>
        <w:suppressLineNumbers w:val="0"/>
        <w:bidi w:val="0"/>
        <w:spacing w:before="0" w:beforeAutospacing="off" w:after="160" w:afterAutospacing="off" w:line="259" w:lineRule="auto"/>
        <w:ind w:left="0" w:right="0"/>
        <w:jc w:val="both"/>
      </w:pPr>
    </w:p>
    <w:sectPr w:rsidR="001E5706">
      <w:pgSz w:w="11906" w:h="16838" w:orient="portrait"/>
      <w:pgMar w:top="1440" w:right="1440" w:bottom="1440" w:left="1440" w:header="720" w:footer="720" w:gutter="0"/>
      <w:cols w:space="720"/>
      <w:docGrid w:linePitch="360"/>
      <w:headerReference w:type="default" r:id="R1771d92b5f5b43f7"/>
      <w:footerReference w:type="default" r:id="R6fc84858003a450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0705CB2B" w:rsidTr="0705CB2B" w14:paraId="4373617D">
      <w:trPr>
        <w:trHeight w:val="300"/>
      </w:trPr>
      <w:tc>
        <w:tcPr>
          <w:tcW w:w="3005" w:type="dxa"/>
          <w:tcMar/>
        </w:tcPr>
        <w:p w:rsidR="0705CB2B" w:rsidP="0705CB2B" w:rsidRDefault="0705CB2B" w14:paraId="62BA23C9" w14:textId="7E610CBF">
          <w:pPr>
            <w:pStyle w:val="Header"/>
            <w:bidi w:val="0"/>
            <w:ind w:left="-115"/>
            <w:jc w:val="left"/>
          </w:pPr>
        </w:p>
      </w:tc>
      <w:tc>
        <w:tcPr>
          <w:tcW w:w="3005" w:type="dxa"/>
          <w:tcMar/>
        </w:tcPr>
        <w:p w:rsidR="0705CB2B" w:rsidP="0705CB2B" w:rsidRDefault="0705CB2B" w14:paraId="2815A1DA" w14:textId="2ED2767B">
          <w:pPr>
            <w:pStyle w:val="Header"/>
            <w:bidi w:val="0"/>
            <w:jc w:val="center"/>
          </w:pPr>
        </w:p>
      </w:tc>
      <w:tc>
        <w:tcPr>
          <w:tcW w:w="3005" w:type="dxa"/>
          <w:tcMar/>
        </w:tcPr>
        <w:p w:rsidR="0705CB2B" w:rsidP="0705CB2B" w:rsidRDefault="0705CB2B" w14:paraId="18B907D4" w14:textId="6F42DC50">
          <w:pPr>
            <w:pStyle w:val="Header"/>
            <w:bidi w:val="0"/>
            <w:ind w:right="-115"/>
            <w:jc w:val="right"/>
          </w:pPr>
        </w:p>
      </w:tc>
    </w:tr>
  </w:tbl>
  <w:p w:rsidR="0705CB2B" w:rsidP="0705CB2B" w:rsidRDefault="0705CB2B" w14:paraId="472D6420" w14:textId="2836889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1740"/>
      <w:gridCol w:w="4270"/>
    </w:tblGrid>
    <w:tr w:rsidR="0705CB2B" w:rsidTr="0705CB2B" w14:paraId="192D8219">
      <w:trPr>
        <w:trHeight w:val="300"/>
      </w:trPr>
      <w:tc>
        <w:tcPr>
          <w:tcW w:w="3005" w:type="dxa"/>
          <w:tcMar/>
        </w:tcPr>
        <w:p w:rsidR="0705CB2B" w:rsidP="0705CB2B" w:rsidRDefault="0705CB2B" w14:paraId="02733D3D" w14:textId="588E6887">
          <w:pPr>
            <w:pStyle w:val="Header"/>
            <w:bidi w:val="0"/>
            <w:ind w:left="-115"/>
            <w:jc w:val="left"/>
          </w:pPr>
        </w:p>
      </w:tc>
      <w:tc>
        <w:tcPr>
          <w:tcW w:w="1740" w:type="dxa"/>
          <w:tcMar/>
        </w:tcPr>
        <w:p w:rsidR="0705CB2B" w:rsidP="0705CB2B" w:rsidRDefault="0705CB2B" w14:paraId="27D378DF" w14:textId="0CF5B477">
          <w:pPr>
            <w:pStyle w:val="Header"/>
            <w:bidi w:val="0"/>
            <w:jc w:val="center"/>
          </w:pPr>
        </w:p>
      </w:tc>
      <w:tc>
        <w:tcPr>
          <w:tcW w:w="4270" w:type="dxa"/>
          <w:tcMar/>
        </w:tcPr>
        <w:p w:rsidR="0705CB2B" w:rsidP="0705CB2B" w:rsidRDefault="0705CB2B" w14:paraId="4602820E" w14:textId="504CEA71">
          <w:pPr>
            <w:pStyle w:val="Header"/>
            <w:bidi w:val="0"/>
            <w:ind w:right="-115"/>
            <w:jc w:val="right"/>
          </w:pPr>
          <w:r w:rsidR="0705CB2B">
            <w:drawing>
              <wp:inline wp14:editId="55B648CE" wp14:anchorId="1F766213">
                <wp:extent cx="2295525" cy="297798"/>
                <wp:effectExtent l="0" t="0" r="0" b="0"/>
                <wp:docPr id="1070526586" name="" title=""/>
                <wp:cNvGraphicFramePr>
                  <a:graphicFrameLocks noChangeAspect="1"/>
                </wp:cNvGraphicFramePr>
                <a:graphic>
                  <a:graphicData uri="http://schemas.openxmlformats.org/drawingml/2006/picture">
                    <pic:pic>
                      <pic:nvPicPr>
                        <pic:cNvPr id="0" name=""/>
                        <pic:cNvPicPr/>
                      </pic:nvPicPr>
                      <pic:blipFill>
                        <a:blip r:embed="R570f0ea066904d7a">
                          <a:extLst>
                            <a:ext xmlns:a="http://schemas.openxmlformats.org/drawingml/2006/main" uri="{28A0092B-C50C-407E-A947-70E740481C1C}">
                              <a14:useLocalDpi val="0"/>
                            </a:ext>
                          </a:extLst>
                        </a:blip>
                        <a:stretch>
                          <a:fillRect/>
                        </a:stretch>
                      </pic:blipFill>
                      <pic:spPr>
                        <a:xfrm>
                          <a:off x="0" y="0"/>
                          <a:ext cx="2295525" cy="297798"/>
                        </a:xfrm>
                        <a:prstGeom prst="rect">
                          <a:avLst/>
                        </a:prstGeom>
                      </pic:spPr>
                    </pic:pic>
                  </a:graphicData>
                </a:graphic>
              </wp:inline>
            </w:drawing>
          </w:r>
        </w:p>
      </w:tc>
    </w:tr>
  </w:tbl>
  <w:p w:rsidR="0705CB2B" w:rsidP="0705CB2B" w:rsidRDefault="0705CB2B" w14:paraId="3F0BD911" w14:textId="385556A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87599"/>
    <w:multiLevelType w:val="hybridMultilevel"/>
    <w:tmpl w:val="B50290EE"/>
    <w:lvl w:ilvl="0" w:tplc="7DB06AD4">
      <w:start w:val="1"/>
      <w:numFmt w:val="bullet"/>
      <w:lvlText w:val=""/>
      <w:lvlJc w:val="left"/>
      <w:pPr>
        <w:ind w:left="720" w:hanging="360"/>
      </w:pPr>
      <w:rPr>
        <w:rFonts w:hint="default" w:ascii="Symbol" w:hAnsi="Symbol"/>
      </w:rPr>
    </w:lvl>
    <w:lvl w:ilvl="1" w:tplc="AFEC766E">
      <w:start w:val="1"/>
      <w:numFmt w:val="bullet"/>
      <w:lvlText w:val="o"/>
      <w:lvlJc w:val="left"/>
      <w:pPr>
        <w:ind w:left="1440" w:hanging="360"/>
      </w:pPr>
      <w:rPr>
        <w:rFonts w:hint="default" w:ascii="Courier New" w:hAnsi="Courier New"/>
      </w:rPr>
    </w:lvl>
    <w:lvl w:ilvl="2" w:tplc="D700C078">
      <w:start w:val="1"/>
      <w:numFmt w:val="bullet"/>
      <w:lvlText w:val=""/>
      <w:lvlJc w:val="left"/>
      <w:pPr>
        <w:ind w:left="2160" w:hanging="360"/>
      </w:pPr>
      <w:rPr>
        <w:rFonts w:hint="default" w:ascii="Wingdings" w:hAnsi="Wingdings"/>
      </w:rPr>
    </w:lvl>
    <w:lvl w:ilvl="3" w:tplc="43CAEBAC">
      <w:start w:val="1"/>
      <w:numFmt w:val="bullet"/>
      <w:lvlText w:val=""/>
      <w:lvlJc w:val="left"/>
      <w:pPr>
        <w:ind w:left="2880" w:hanging="360"/>
      </w:pPr>
      <w:rPr>
        <w:rFonts w:hint="default" w:ascii="Symbol" w:hAnsi="Symbol"/>
      </w:rPr>
    </w:lvl>
    <w:lvl w:ilvl="4" w:tplc="E4B4539C">
      <w:start w:val="1"/>
      <w:numFmt w:val="bullet"/>
      <w:lvlText w:val="o"/>
      <w:lvlJc w:val="left"/>
      <w:pPr>
        <w:ind w:left="3600" w:hanging="360"/>
      </w:pPr>
      <w:rPr>
        <w:rFonts w:hint="default" w:ascii="Courier New" w:hAnsi="Courier New"/>
      </w:rPr>
    </w:lvl>
    <w:lvl w:ilvl="5" w:tplc="137833CE">
      <w:start w:val="1"/>
      <w:numFmt w:val="bullet"/>
      <w:lvlText w:val=""/>
      <w:lvlJc w:val="left"/>
      <w:pPr>
        <w:ind w:left="4320" w:hanging="360"/>
      </w:pPr>
      <w:rPr>
        <w:rFonts w:hint="default" w:ascii="Wingdings" w:hAnsi="Wingdings"/>
      </w:rPr>
    </w:lvl>
    <w:lvl w:ilvl="6" w:tplc="DA1A917C">
      <w:start w:val="1"/>
      <w:numFmt w:val="bullet"/>
      <w:lvlText w:val=""/>
      <w:lvlJc w:val="left"/>
      <w:pPr>
        <w:ind w:left="5040" w:hanging="360"/>
      </w:pPr>
      <w:rPr>
        <w:rFonts w:hint="default" w:ascii="Symbol" w:hAnsi="Symbol"/>
      </w:rPr>
    </w:lvl>
    <w:lvl w:ilvl="7" w:tplc="DEECBA0A">
      <w:start w:val="1"/>
      <w:numFmt w:val="bullet"/>
      <w:lvlText w:val="o"/>
      <w:lvlJc w:val="left"/>
      <w:pPr>
        <w:ind w:left="5760" w:hanging="360"/>
      </w:pPr>
      <w:rPr>
        <w:rFonts w:hint="default" w:ascii="Courier New" w:hAnsi="Courier New"/>
      </w:rPr>
    </w:lvl>
    <w:lvl w:ilvl="8" w:tplc="8212634E">
      <w:start w:val="1"/>
      <w:numFmt w:val="bullet"/>
      <w:lvlText w:val=""/>
      <w:lvlJc w:val="left"/>
      <w:pPr>
        <w:ind w:left="6480" w:hanging="360"/>
      </w:pPr>
      <w:rPr>
        <w:rFonts w:hint="default" w:ascii="Wingdings" w:hAnsi="Wingdings"/>
      </w:rPr>
    </w:lvl>
  </w:abstractNum>
  <w:num w:numId="1" w16cid:durableId="13633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BB5E9"/>
    <w:rsid w:val="001E5706"/>
    <w:rsid w:val="006730EE"/>
    <w:rsid w:val="00997EEE"/>
    <w:rsid w:val="00BE6AD7"/>
    <w:rsid w:val="00D43364"/>
    <w:rsid w:val="00D45BA4"/>
    <w:rsid w:val="014763ED"/>
    <w:rsid w:val="024025D1"/>
    <w:rsid w:val="02682B25"/>
    <w:rsid w:val="02EFBC2F"/>
    <w:rsid w:val="03B5E91C"/>
    <w:rsid w:val="055B9783"/>
    <w:rsid w:val="06AE8E8A"/>
    <w:rsid w:val="0705CB2B"/>
    <w:rsid w:val="0775A32B"/>
    <w:rsid w:val="080759E7"/>
    <w:rsid w:val="08172D4D"/>
    <w:rsid w:val="09863B5C"/>
    <w:rsid w:val="0B3F033A"/>
    <w:rsid w:val="0B502B4E"/>
    <w:rsid w:val="0B66FFFD"/>
    <w:rsid w:val="0C69FB48"/>
    <w:rsid w:val="0CE9A801"/>
    <w:rsid w:val="0D18845F"/>
    <w:rsid w:val="0D95D1F9"/>
    <w:rsid w:val="0E4C865A"/>
    <w:rsid w:val="0F2D41D6"/>
    <w:rsid w:val="0FCA2EC1"/>
    <w:rsid w:val="11BD1924"/>
    <w:rsid w:val="139F2560"/>
    <w:rsid w:val="13A6143A"/>
    <w:rsid w:val="14547D61"/>
    <w:rsid w:val="14C8CE8D"/>
    <w:rsid w:val="14F4B9E6"/>
    <w:rsid w:val="1633DCFD"/>
    <w:rsid w:val="16669A54"/>
    <w:rsid w:val="1970C8F3"/>
    <w:rsid w:val="199874EF"/>
    <w:rsid w:val="1C08B947"/>
    <w:rsid w:val="1E5FC1B3"/>
    <w:rsid w:val="1E8C27BD"/>
    <w:rsid w:val="1FB5EEE8"/>
    <w:rsid w:val="201BB272"/>
    <w:rsid w:val="220BDEDE"/>
    <w:rsid w:val="245D97DB"/>
    <w:rsid w:val="24F0C43F"/>
    <w:rsid w:val="26B60DE7"/>
    <w:rsid w:val="27159865"/>
    <w:rsid w:val="27B38760"/>
    <w:rsid w:val="29012487"/>
    <w:rsid w:val="2926EFA9"/>
    <w:rsid w:val="2A7DA6BE"/>
    <w:rsid w:val="2B394AB3"/>
    <w:rsid w:val="2B831CFB"/>
    <w:rsid w:val="2C403B29"/>
    <w:rsid w:val="2C959844"/>
    <w:rsid w:val="30389A63"/>
    <w:rsid w:val="32F668D8"/>
    <w:rsid w:val="35ABED4A"/>
    <w:rsid w:val="3688381F"/>
    <w:rsid w:val="371B5819"/>
    <w:rsid w:val="375258BB"/>
    <w:rsid w:val="38FBE978"/>
    <w:rsid w:val="3A278278"/>
    <w:rsid w:val="3A760C7B"/>
    <w:rsid w:val="3AB67A8B"/>
    <w:rsid w:val="3AD438E8"/>
    <w:rsid w:val="3B148A3C"/>
    <w:rsid w:val="3D43D0F3"/>
    <w:rsid w:val="3D89C218"/>
    <w:rsid w:val="3DAA96D5"/>
    <w:rsid w:val="3EF475D8"/>
    <w:rsid w:val="40AA2DAE"/>
    <w:rsid w:val="41BEB41D"/>
    <w:rsid w:val="461A885C"/>
    <w:rsid w:val="47383F8F"/>
    <w:rsid w:val="47564A80"/>
    <w:rsid w:val="489E5ED1"/>
    <w:rsid w:val="4AA80ACD"/>
    <w:rsid w:val="4AF09F29"/>
    <w:rsid w:val="4BCFA563"/>
    <w:rsid w:val="4C3ADC7A"/>
    <w:rsid w:val="4CFBB5E9"/>
    <w:rsid w:val="4E9AD63D"/>
    <w:rsid w:val="511B3256"/>
    <w:rsid w:val="52AD17F1"/>
    <w:rsid w:val="52B702B7"/>
    <w:rsid w:val="5307903E"/>
    <w:rsid w:val="53EBF35B"/>
    <w:rsid w:val="54AC49A3"/>
    <w:rsid w:val="54DCC2EC"/>
    <w:rsid w:val="57692B48"/>
    <w:rsid w:val="586AB40C"/>
    <w:rsid w:val="58DB2729"/>
    <w:rsid w:val="59745663"/>
    <w:rsid w:val="5AB3F5A9"/>
    <w:rsid w:val="5E3D424B"/>
    <w:rsid w:val="6186DA9F"/>
    <w:rsid w:val="62727F40"/>
    <w:rsid w:val="638DAE04"/>
    <w:rsid w:val="640E4FA1"/>
    <w:rsid w:val="65553738"/>
    <w:rsid w:val="65AC7F4F"/>
    <w:rsid w:val="66F800A4"/>
    <w:rsid w:val="67936236"/>
    <w:rsid w:val="67FBEC46"/>
    <w:rsid w:val="67FD5181"/>
    <w:rsid w:val="680DC4FB"/>
    <w:rsid w:val="6814527D"/>
    <w:rsid w:val="6AAC9448"/>
    <w:rsid w:val="71AE93B0"/>
    <w:rsid w:val="71D4A053"/>
    <w:rsid w:val="72267A3A"/>
    <w:rsid w:val="72674E21"/>
    <w:rsid w:val="74E97510"/>
    <w:rsid w:val="7899438A"/>
    <w:rsid w:val="7B04119E"/>
    <w:rsid w:val="7BD0E4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5E9"/>
  <w15:chartTrackingRefBased/>
  <w15:docId w15:val="{7EC66D5A-CE6C-4400-A67B-CE172E98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pPr>
      <w:ind w:left="720"/>
      <w:contextualSpacing/>
    </w:pPr>
  </w:style>
  <w:style w:type="character" w:styleId="normaltextrun" w:customStyle="1">
    <w:name w:val="normaltextrun"/>
    <w:basedOn w:val="Fuentedeprrafopredeter"/>
    <w:rsid w:val="00D43364"/>
  </w:style>
  <w:style w:type="character" w:styleId="eop" w:customStyle="1">
    <w:name w:val="eop"/>
    <w:basedOn w:val="Fuentedeprrafopredeter"/>
    <w:rsid w:val="00D43364"/>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f56fae26d4694ded" /><Relationship Type="http://schemas.openxmlformats.org/officeDocument/2006/relationships/header" Target="header.xml" Id="R1771d92b5f5b43f7" /><Relationship Type="http://schemas.openxmlformats.org/officeDocument/2006/relationships/footer" Target="footer.xml" Id="R6fc84858003a450d" /><Relationship Type="http://schemas.openxmlformats.org/officeDocument/2006/relationships/hyperlink" Target="mailto:sppm@comerzzia.com" TargetMode="External" Id="Rf4c52c23c3fd4a19" /><Relationship Type="http://schemas.openxmlformats.org/officeDocument/2006/relationships/hyperlink" Target="http://www.comerzzia.com" TargetMode="External" Id="Red7cec51cd004040" /></Relationships>
</file>

<file path=word/_rels/header.xml.rels>&#65279;<?xml version="1.0" encoding="utf-8"?><Relationships xmlns="http://schemas.openxmlformats.org/package/2006/relationships"><Relationship Type="http://schemas.openxmlformats.org/officeDocument/2006/relationships/image" Target="/media/image2.png" Id="R570f0ea066904d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d8d6af-6beb-4221-b155-2e0810cb4377" xsi:nil="true"/>
    <lcf76f155ced4ddcb4097134ff3c332f xmlns="5431b985-4489-48b6-b2e7-877724579f6b">
      <Terms xmlns="http://schemas.microsoft.com/office/infopath/2007/PartnerControls"/>
    </lcf76f155ced4ddcb4097134ff3c332f>
    <SharedWithUsers xmlns="1cd8d6af-6beb-4221-b155-2e0810cb4377">
      <UserInfo>
        <DisplayName>CHARO LUNA TOMILLO</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2B1A4F9BB6A142AF5878B8C68351B4" ma:contentTypeVersion="14" ma:contentTypeDescription="Crear nuevo documento." ma:contentTypeScope="" ma:versionID="6caa3dfb26140cd7ccf0966229417ade">
  <xsd:schema xmlns:xsd="http://www.w3.org/2001/XMLSchema" xmlns:xs="http://www.w3.org/2001/XMLSchema" xmlns:p="http://schemas.microsoft.com/office/2006/metadata/properties" xmlns:ns2="5431b985-4489-48b6-b2e7-877724579f6b" xmlns:ns3="1cd8d6af-6beb-4221-b155-2e0810cb4377" targetNamespace="http://schemas.microsoft.com/office/2006/metadata/properties" ma:root="true" ma:fieldsID="37b306ec8e35f1de2d88b6fd7982cc2b" ns2:_="" ns3:_="">
    <xsd:import namespace="5431b985-4489-48b6-b2e7-877724579f6b"/>
    <xsd:import namespace="1cd8d6af-6beb-4221-b155-2e0810cb4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b985-4489-48b6-b2e7-877724579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b6dcc33-6013-4f60-adb5-f78df4795d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8d6af-6beb-4221-b155-2e0810cb437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90542397-9200-4ce2-a882-738618d8885d}" ma:internalName="TaxCatchAll" ma:showField="CatchAllData" ma:web="1cd8d6af-6beb-4221-b155-2e0810cb4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9A49B-09F8-4ABB-B477-A7D809E12C70}">
  <ds:schemaRefs>
    <ds:schemaRef ds:uri="http://schemas.microsoft.com/office/2006/metadata/properties"/>
    <ds:schemaRef ds:uri="http://schemas.microsoft.com/office/infopath/2007/PartnerControls"/>
    <ds:schemaRef ds:uri="1cd8d6af-6beb-4221-b155-2e0810cb4377"/>
    <ds:schemaRef ds:uri="5431b985-4489-48b6-b2e7-877724579f6b"/>
  </ds:schemaRefs>
</ds:datastoreItem>
</file>

<file path=customXml/itemProps2.xml><?xml version="1.0" encoding="utf-8"?>
<ds:datastoreItem xmlns:ds="http://schemas.openxmlformats.org/officeDocument/2006/customXml" ds:itemID="{A5FDADD5-D1F7-4ED7-8405-A367307B8631}">
  <ds:schemaRefs>
    <ds:schemaRef ds:uri="http://schemas.microsoft.com/sharepoint/v3/contenttype/forms"/>
  </ds:schemaRefs>
</ds:datastoreItem>
</file>

<file path=customXml/itemProps3.xml><?xml version="1.0" encoding="utf-8"?>
<ds:datastoreItem xmlns:ds="http://schemas.openxmlformats.org/officeDocument/2006/customXml" ds:itemID="{801D5D2D-2161-49C6-849D-D67C8910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b985-4489-48b6-b2e7-877724579f6b"/>
    <ds:schemaRef ds:uri="1cd8d6af-6beb-4221-b155-2e0810cb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LA PEÑA PÉREZ MARTÍNEZ</dc:creator>
  <cp:keywords/>
  <dc:description/>
  <cp:lastModifiedBy>SARA DE LA PEÑA PÉREZ MARTÍNEZ</cp:lastModifiedBy>
  <cp:revision>6</cp:revision>
  <dcterms:created xsi:type="dcterms:W3CDTF">2024-02-14T09:48:00Z</dcterms:created>
  <dcterms:modified xsi:type="dcterms:W3CDTF">2024-02-15T12:27:06Z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0x010100FF2B1A4F9BB6A142AF5878B8C68351B4</vt:lpwstr>
  </property>
  <property fmtid="{D5CDD505-2E9C-101B-9397-08002B2CF9AE}" pid="3" name="MediaServiceImageTags">
    <vt:lpwstr/>
  </property>
</Properties>
</file>